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B019" w14:textId="77777777" w:rsidR="005D551B" w:rsidRDefault="005D551B" w:rsidP="0037225A">
      <w:pPr>
        <w:rPr>
          <w:rFonts w:ascii="Legacy Serif ITC Pro Book" w:hAnsi="Legacy Serif ITC Pro Book" w:cs="Arial"/>
          <w:i/>
          <w:iCs/>
          <w:color w:val="808080" w:themeColor="background1" w:themeShade="80"/>
          <w:sz w:val="40"/>
          <w:szCs w:val="40"/>
        </w:rPr>
      </w:pPr>
    </w:p>
    <w:p w14:paraId="36DE8243" w14:textId="1F9F809B" w:rsidR="005D551B" w:rsidRPr="005D551B" w:rsidRDefault="005D551B" w:rsidP="0037225A">
      <w:pPr>
        <w:rPr>
          <w:rFonts w:ascii="Legacy Serif ITC Pro Book" w:hAnsi="Legacy Serif ITC Pro Book" w:cs="Arial"/>
          <w:i/>
          <w:iCs/>
          <w:color w:val="808080" w:themeColor="background1" w:themeShade="80"/>
          <w:sz w:val="40"/>
          <w:szCs w:val="40"/>
        </w:rPr>
      </w:pPr>
      <w:r w:rsidRPr="005D551B">
        <w:rPr>
          <w:rFonts w:ascii="Legacy Serif ITC Pro Book" w:hAnsi="Legacy Serif ITC Pro Book" w:cs="Arial"/>
          <w:i/>
          <w:iCs/>
          <w:color w:val="808080" w:themeColor="background1" w:themeShade="80"/>
          <w:sz w:val="40"/>
          <w:szCs w:val="40"/>
        </w:rPr>
        <w:t>Tisková zpráva</w:t>
      </w:r>
    </w:p>
    <w:p w14:paraId="737C2C3B" w14:textId="743925DF" w:rsidR="004E5A39" w:rsidRDefault="004E5A39" w:rsidP="0037225A">
      <w:pPr>
        <w:rPr>
          <w:rFonts w:asciiTheme="minorHAnsi" w:hAnsiTheme="minorHAnsi" w:cstheme="minorHAnsi"/>
          <w:bCs/>
          <w:sz w:val="20"/>
          <w:szCs w:val="20"/>
        </w:rPr>
      </w:pPr>
    </w:p>
    <w:p w14:paraId="4F6EC596" w14:textId="25B361CE" w:rsidR="00D76C50" w:rsidRPr="00D76C50" w:rsidRDefault="00D76C50" w:rsidP="00D76C50">
      <w:pPr>
        <w:spacing w:after="0"/>
        <w:jc w:val="both"/>
        <w:rPr>
          <w:rFonts w:asciiTheme="minorHAnsi" w:hAnsiTheme="minorHAnsi" w:cstheme="minorHAnsi"/>
          <w:b/>
          <w:sz w:val="40"/>
          <w:szCs w:val="40"/>
        </w:rPr>
      </w:pPr>
      <w:bookmarkStart w:id="0" w:name="_GoBack"/>
      <w:r w:rsidRPr="00D76C50">
        <w:rPr>
          <w:rFonts w:asciiTheme="minorHAnsi" w:hAnsiTheme="minorHAnsi" w:cstheme="minorHAnsi"/>
          <w:b/>
          <w:sz w:val="40"/>
          <w:szCs w:val="40"/>
        </w:rPr>
        <w:t>Index českého investora</w:t>
      </w:r>
      <w:r>
        <w:rPr>
          <w:rFonts w:asciiTheme="minorHAnsi" w:hAnsiTheme="minorHAnsi" w:cstheme="minorHAnsi"/>
          <w:b/>
          <w:sz w:val="40"/>
          <w:szCs w:val="40"/>
        </w:rPr>
        <w:t xml:space="preserve">: </w:t>
      </w:r>
      <w:r w:rsidRPr="00D76C50">
        <w:rPr>
          <w:rFonts w:asciiTheme="minorHAnsi" w:hAnsiTheme="minorHAnsi" w:cstheme="minorHAnsi"/>
          <w:b/>
          <w:sz w:val="40"/>
          <w:szCs w:val="40"/>
        </w:rPr>
        <w:t>p</w:t>
      </w:r>
      <w:r w:rsidRPr="00D76C50">
        <w:rPr>
          <w:rFonts w:asciiTheme="minorHAnsi" w:hAnsiTheme="minorHAnsi" w:cstheme="minorHAnsi"/>
          <w:b/>
          <w:sz w:val="40"/>
          <w:szCs w:val="40"/>
        </w:rPr>
        <w:t>růměrný český investor zakončil rok s 12procentním výnosem</w:t>
      </w:r>
    </w:p>
    <w:p w14:paraId="4318CD09" w14:textId="77777777" w:rsidR="00D76C50" w:rsidRPr="005D551B" w:rsidRDefault="00D76C50" w:rsidP="0037225A">
      <w:pPr>
        <w:rPr>
          <w:rFonts w:asciiTheme="minorHAnsi" w:hAnsiTheme="minorHAnsi" w:cstheme="minorHAnsi"/>
          <w:bCs/>
          <w:sz w:val="20"/>
          <w:szCs w:val="20"/>
        </w:rPr>
      </w:pPr>
    </w:p>
    <w:p w14:paraId="19852AB4" w14:textId="77777777" w:rsidR="00D76C50" w:rsidRDefault="00D76C50" w:rsidP="00D76C50">
      <w:pPr>
        <w:rPr>
          <w:rFonts w:asciiTheme="minorHAnsi" w:hAnsiTheme="minorHAnsi" w:cstheme="minorHAnsi"/>
          <w:bCs/>
          <w:sz w:val="20"/>
          <w:szCs w:val="20"/>
        </w:rPr>
      </w:pPr>
      <w:r>
        <w:rPr>
          <w:rFonts w:asciiTheme="minorHAnsi" w:hAnsiTheme="minorHAnsi" w:cstheme="minorHAnsi"/>
          <w:bCs/>
          <w:sz w:val="20"/>
          <w:szCs w:val="20"/>
        </w:rPr>
        <w:t>Praha,</w:t>
      </w:r>
      <w:r w:rsidRPr="005D551B">
        <w:rPr>
          <w:rFonts w:asciiTheme="minorHAnsi" w:hAnsiTheme="minorHAnsi" w:cstheme="minorHAnsi"/>
          <w:bCs/>
          <w:sz w:val="20"/>
          <w:szCs w:val="20"/>
        </w:rPr>
        <w:t xml:space="preserve"> </w:t>
      </w:r>
      <w:r>
        <w:rPr>
          <w:rFonts w:asciiTheme="minorHAnsi" w:hAnsiTheme="minorHAnsi" w:cstheme="minorHAnsi"/>
          <w:bCs/>
          <w:sz w:val="20"/>
          <w:szCs w:val="20"/>
        </w:rPr>
        <w:t>6</w:t>
      </w:r>
      <w:r w:rsidRPr="005D551B">
        <w:rPr>
          <w:rFonts w:asciiTheme="minorHAnsi" w:hAnsiTheme="minorHAnsi" w:cstheme="minorHAnsi"/>
          <w:bCs/>
          <w:sz w:val="20"/>
          <w:szCs w:val="20"/>
        </w:rPr>
        <w:t xml:space="preserve">. </w:t>
      </w:r>
      <w:r>
        <w:rPr>
          <w:rFonts w:asciiTheme="minorHAnsi" w:hAnsiTheme="minorHAnsi" w:cstheme="minorHAnsi"/>
          <w:bCs/>
          <w:sz w:val="20"/>
          <w:szCs w:val="20"/>
        </w:rPr>
        <w:t>února</w:t>
      </w:r>
      <w:r w:rsidRPr="005D551B">
        <w:rPr>
          <w:rFonts w:asciiTheme="minorHAnsi" w:hAnsiTheme="minorHAnsi" w:cstheme="minorHAnsi"/>
          <w:bCs/>
          <w:sz w:val="20"/>
          <w:szCs w:val="20"/>
        </w:rPr>
        <w:t xml:space="preserve"> 20</w:t>
      </w:r>
      <w:r>
        <w:rPr>
          <w:rFonts w:asciiTheme="minorHAnsi" w:hAnsiTheme="minorHAnsi" w:cstheme="minorHAnsi"/>
          <w:bCs/>
          <w:sz w:val="20"/>
          <w:szCs w:val="20"/>
        </w:rPr>
        <w:t>20</w:t>
      </w:r>
      <w:r>
        <w:rPr>
          <w:rFonts w:asciiTheme="minorHAnsi" w:hAnsiTheme="minorHAnsi" w:cstheme="minorHAnsi"/>
          <w:bCs/>
          <w:sz w:val="20"/>
          <w:szCs w:val="20"/>
        </w:rPr>
        <w:t xml:space="preserve"> </w:t>
      </w:r>
    </w:p>
    <w:p w14:paraId="2BAB94E6" w14:textId="5459F126" w:rsidR="00B13251" w:rsidRPr="00D76C50" w:rsidRDefault="00B13251" w:rsidP="00D76C50">
      <w:pPr>
        <w:rPr>
          <w:rFonts w:asciiTheme="minorHAnsi" w:hAnsiTheme="minorHAnsi" w:cstheme="minorHAnsi"/>
          <w:bCs/>
          <w:sz w:val="24"/>
          <w:szCs w:val="24"/>
        </w:rPr>
      </w:pPr>
      <w:r w:rsidRPr="00D76C50">
        <w:rPr>
          <w:rFonts w:asciiTheme="minorHAnsi" w:hAnsiTheme="minorHAnsi" w:cstheme="minorHAnsi"/>
          <w:b/>
          <w:sz w:val="24"/>
          <w:szCs w:val="24"/>
        </w:rPr>
        <w:t>Průměrný český investor ve čtvrtém kvartále roku 2019 zhodnotil své investice o 2,3 % a zakončil tak rok s 12procentním výnosem. Prosinec z pohledu indexu ale zůstal výrazně za potenciálem hlavních akciových indexů. Důvodem může být velice konzervativní přístup Čechů při výběru fondů, tedy preference bezpečné investice na úkor výnosu.</w:t>
      </w:r>
    </w:p>
    <w:p w14:paraId="4C463BBA" w14:textId="77777777" w:rsidR="00B13251" w:rsidRPr="00D76C50" w:rsidRDefault="00B13251" w:rsidP="00B13251">
      <w:pPr>
        <w:jc w:val="both"/>
        <w:rPr>
          <w:rFonts w:asciiTheme="minorHAnsi" w:hAnsiTheme="minorHAnsi" w:cstheme="minorHAnsi"/>
          <w:bCs/>
        </w:rPr>
      </w:pPr>
      <w:r w:rsidRPr="00D76C50">
        <w:rPr>
          <w:rFonts w:asciiTheme="minorHAnsi" w:hAnsiTheme="minorHAnsi" w:cstheme="minorHAnsi"/>
          <w:bCs/>
        </w:rPr>
        <w:t xml:space="preserve">V rámci rozložení portfolia indexu měly na dobrém výsledku čtvrtého kvartálu zásluhu především akciové tituly s průměrným výnosem 4,9 %. </w:t>
      </w:r>
    </w:p>
    <w:p w14:paraId="4EC0ED6C" w14:textId="784FAB5D" w:rsidR="00B13251" w:rsidRPr="00D76C50" w:rsidRDefault="00B13251" w:rsidP="00785F97">
      <w:pPr>
        <w:jc w:val="both"/>
        <w:rPr>
          <w:rFonts w:asciiTheme="minorHAnsi" w:hAnsiTheme="minorHAnsi" w:cstheme="minorHAnsi"/>
          <w:bCs/>
        </w:rPr>
      </w:pPr>
      <w:r w:rsidRPr="00D76C50">
        <w:rPr>
          <w:rFonts w:asciiTheme="minorHAnsi" w:hAnsiTheme="minorHAnsi" w:cstheme="minorHAnsi"/>
          <w:bCs/>
        </w:rPr>
        <w:t xml:space="preserve">Dluhopisy v určitých částech roku dokázaly těžit ze zvýšeného napětí na globálních trzích, a to především při eskalaci geopolitických sporů. Přesto s celkovým výsledkem -0,5 % byly konzervativní dluhopisové fondy v daném čtvrtletí spíše ztrátové. </w:t>
      </w:r>
    </w:p>
    <w:p w14:paraId="25DFCF7C" w14:textId="77777777" w:rsidR="00B13251" w:rsidRDefault="00B13251" w:rsidP="00B13251">
      <w:pPr>
        <w:jc w:val="both"/>
        <w:rPr>
          <w:u w:val="single"/>
        </w:rPr>
      </w:pPr>
      <w:r>
        <w:rPr>
          <w:u w:val="single"/>
        </w:rPr>
        <w:t>Graf: Vývoj Indexu českého investora (CII750) od začátku indexu</w:t>
      </w:r>
    </w:p>
    <w:p w14:paraId="1627990C" w14:textId="6A47E86A" w:rsidR="00B13251" w:rsidRDefault="00B13251" w:rsidP="00B13251">
      <w:pPr>
        <w:jc w:val="both"/>
        <w:rPr>
          <w:b/>
        </w:rPr>
      </w:pPr>
      <w:r>
        <w:rPr>
          <w:b/>
          <w:noProof/>
        </w:rPr>
        <w:drawing>
          <wp:inline distT="0" distB="0" distL="0" distR="0" wp14:anchorId="22800F83" wp14:editId="57A8300B">
            <wp:extent cx="5969000" cy="2552700"/>
            <wp:effectExtent l="0" t="0" r="0" b="0"/>
            <wp:docPr id="2" name="Obrázek 2"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snímek obrazovky&#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2552700"/>
                    </a:xfrm>
                    <a:prstGeom prst="rect">
                      <a:avLst/>
                    </a:prstGeom>
                    <a:noFill/>
                    <a:ln>
                      <a:noFill/>
                    </a:ln>
                  </pic:spPr>
                </pic:pic>
              </a:graphicData>
            </a:graphic>
          </wp:inline>
        </w:drawing>
      </w:r>
    </w:p>
    <w:p w14:paraId="08272267" w14:textId="77777777" w:rsidR="00B13251" w:rsidRDefault="00B13251" w:rsidP="00B13251">
      <w:r>
        <w:lastRenderedPageBreak/>
        <w:t xml:space="preserve">Zdroj: CII750, </w:t>
      </w:r>
      <w:proofErr w:type="spellStart"/>
      <w:r>
        <w:t>Swiss</w:t>
      </w:r>
      <w:proofErr w:type="spellEnd"/>
      <w:r>
        <w:t xml:space="preserve"> </w:t>
      </w:r>
      <w:proofErr w:type="spellStart"/>
      <w:r>
        <w:t>Life</w:t>
      </w:r>
      <w:proofErr w:type="spellEnd"/>
      <w:r>
        <w:t xml:space="preserve"> </w:t>
      </w:r>
      <w:proofErr w:type="spellStart"/>
      <w:r>
        <w:t>Select</w:t>
      </w:r>
      <w:proofErr w:type="spellEnd"/>
      <w:r>
        <w:t xml:space="preserve"> a Thomson Reuters</w:t>
      </w:r>
    </w:p>
    <w:p w14:paraId="605F7001" w14:textId="08DF04DB" w:rsidR="00B13251" w:rsidRPr="00B13251" w:rsidRDefault="00B13251" w:rsidP="00B13251">
      <w:pPr>
        <w:jc w:val="both"/>
        <w:rPr>
          <w:rFonts w:asciiTheme="minorHAnsi" w:hAnsiTheme="minorHAnsi" w:cstheme="minorHAnsi"/>
          <w:b/>
          <w:bCs/>
          <w:iCs/>
        </w:rPr>
      </w:pPr>
      <w:r w:rsidRPr="00B13251">
        <w:rPr>
          <w:rFonts w:asciiTheme="minorHAnsi" w:hAnsiTheme="minorHAnsi" w:cstheme="minorHAnsi"/>
          <w:i/>
        </w:rPr>
        <w:t xml:space="preserve">„Akciové trhy těžili z několika pozitivních </w:t>
      </w:r>
      <w:proofErr w:type="gramStart"/>
      <w:r w:rsidRPr="00B13251">
        <w:rPr>
          <w:rFonts w:asciiTheme="minorHAnsi" w:hAnsiTheme="minorHAnsi" w:cstheme="minorHAnsi"/>
          <w:i/>
        </w:rPr>
        <w:t>faktorů - jednoznačného</w:t>
      </w:r>
      <w:proofErr w:type="gramEnd"/>
      <w:r w:rsidRPr="00B13251">
        <w:rPr>
          <w:rFonts w:asciiTheme="minorHAnsi" w:hAnsiTheme="minorHAnsi" w:cstheme="minorHAnsi"/>
          <w:i/>
        </w:rPr>
        <w:t xml:space="preserve"> výsledku voleb ve Velké Británií a posunu ve vyjednáváních mezi USA a Čínou. Utlumení hrozeb omezování mezinárodního obchodu oživilo poslední měsíc zájem především o akcie z regionu rozvíjejících se trhů</w:t>
      </w:r>
      <w:r>
        <w:rPr>
          <w:rFonts w:asciiTheme="minorHAnsi" w:hAnsiTheme="minorHAnsi" w:cstheme="minorHAnsi"/>
          <w:i/>
        </w:rPr>
        <w:t>,</w:t>
      </w:r>
      <w:r w:rsidRPr="00B13251">
        <w:rPr>
          <w:rFonts w:asciiTheme="minorHAnsi" w:hAnsiTheme="minorHAnsi" w:cstheme="minorHAnsi"/>
          <w:i/>
        </w:rPr>
        <w:t xml:space="preserve">“ </w:t>
      </w:r>
      <w:r w:rsidRPr="00B13251">
        <w:rPr>
          <w:rFonts w:asciiTheme="minorHAnsi" w:hAnsiTheme="minorHAnsi" w:cstheme="minorHAnsi"/>
          <w:b/>
          <w:bCs/>
          <w:iCs/>
        </w:rPr>
        <w:t xml:space="preserve">komentuje vývoj Richard </w:t>
      </w:r>
      <w:proofErr w:type="spellStart"/>
      <w:r w:rsidRPr="00B13251">
        <w:rPr>
          <w:rFonts w:asciiTheme="minorHAnsi" w:hAnsiTheme="minorHAnsi" w:cstheme="minorHAnsi"/>
          <w:b/>
          <w:bCs/>
          <w:iCs/>
        </w:rPr>
        <w:t>Bechník</w:t>
      </w:r>
      <w:proofErr w:type="spellEnd"/>
      <w:r w:rsidRPr="00B13251">
        <w:rPr>
          <w:rFonts w:asciiTheme="minorHAnsi" w:hAnsiTheme="minorHAnsi" w:cstheme="minorHAnsi"/>
          <w:b/>
          <w:bCs/>
          <w:iCs/>
        </w:rPr>
        <w:t xml:space="preserve">, investiční analytik </w:t>
      </w:r>
      <w:proofErr w:type="spellStart"/>
      <w:r w:rsidRPr="00B13251">
        <w:rPr>
          <w:rFonts w:asciiTheme="minorHAnsi" w:hAnsiTheme="minorHAnsi" w:cstheme="minorHAnsi"/>
          <w:b/>
          <w:bCs/>
          <w:iCs/>
        </w:rPr>
        <w:t>Fincentrum</w:t>
      </w:r>
      <w:proofErr w:type="spellEnd"/>
      <w:r w:rsidRPr="00B13251">
        <w:rPr>
          <w:rFonts w:asciiTheme="minorHAnsi" w:hAnsiTheme="minorHAnsi" w:cstheme="minorHAnsi"/>
          <w:b/>
          <w:bCs/>
          <w:iCs/>
        </w:rPr>
        <w:t xml:space="preserve"> </w:t>
      </w:r>
      <w:proofErr w:type="spellStart"/>
      <w:r w:rsidRPr="00B13251">
        <w:rPr>
          <w:rFonts w:asciiTheme="minorHAnsi" w:hAnsiTheme="minorHAnsi" w:cstheme="minorHAnsi"/>
          <w:b/>
          <w:bCs/>
          <w:iCs/>
        </w:rPr>
        <w:t>Swiss</w:t>
      </w:r>
      <w:proofErr w:type="spellEnd"/>
      <w:r w:rsidRPr="00B13251">
        <w:rPr>
          <w:rFonts w:asciiTheme="minorHAnsi" w:hAnsiTheme="minorHAnsi" w:cstheme="minorHAnsi"/>
          <w:b/>
          <w:bCs/>
          <w:iCs/>
        </w:rPr>
        <w:t xml:space="preserve"> </w:t>
      </w:r>
      <w:proofErr w:type="spellStart"/>
      <w:r w:rsidRPr="00B13251">
        <w:rPr>
          <w:rFonts w:asciiTheme="minorHAnsi" w:hAnsiTheme="minorHAnsi" w:cstheme="minorHAnsi"/>
          <w:b/>
          <w:bCs/>
          <w:iCs/>
        </w:rPr>
        <w:t>Life</w:t>
      </w:r>
      <w:proofErr w:type="spellEnd"/>
      <w:r w:rsidRPr="00B13251">
        <w:rPr>
          <w:rFonts w:asciiTheme="minorHAnsi" w:hAnsiTheme="minorHAnsi" w:cstheme="minorHAnsi"/>
          <w:b/>
          <w:bCs/>
          <w:iCs/>
        </w:rPr>
        <w:t xml:space="preserve"> </w:t>
      </w:r>
      <w:proofErr w:type="spellStart"/>
      <w:r w:rsidRPr="00B13251">
        <w:rPr>
          <w:rFonts w:asciiTheme="minorHAnsi" w:hAnsiTheme="minorHAnsi" w:cstheme="minorHAnsi"/>
          <w:b/>
          <w:bCs/>
          <w:iCs/>
        </w:rPr>
        <w:t>Select</w:t>
      </w:r>
      <w:proofErr w:type="spellEnd"/>
      <w:r w:rsidRPr="00B13251">
        <w:rPr>
          <w:rFonts w:asciiTheme="minorHAnsi" w:hAnsiTheme="minorHAnsi" w:cstheme="minorHAnsi"/>
          <w:b/>
          <w:bCs/>
          <w:iCs/>
        </w:rPr>
        <w:t xml:space="preserve"> a.s.</w:t>
      </w:r>
    </w:p>
    <w:bookmarkEnd w:id="0"/>
    <w:p w14:paraId="33F8FA91" w14:textId="6BEDB4E8" w:rsidR="00B13251" w:rsidRPr="00B13251" w:rsidRDefault="00B13251" w:rsidP="00B13251">
      <w:pPr>
        <w:jc w:val="both"/>
        <w:rPr>
          <w:rFonts w:asciiTheme="minorHAnsi" w:hAnsiTheme="minorHAnsi" w:cstheme="minorHAnsi"/>
          <w:bCs/>
        </w:rPr>
      </w:pPr>
      <w:r>
        <w:rPr>
          <w:rFonts w:asciiTheme="minorHAnsi" w:hAnsiTheme="minorHAnsi" w:cstheme="minorHAnsi"/>
          <w:bCs/>
        </w:rPr>
        <w:t>Z</w:t>
      </w:r>
      <w:r w:rsidRPr="00B13251">
        <w:rPr>
          <w:rFonts w:asciiTheme="minorHAnsi" w:hAnsiTheme="minorHAnsi" w:cstheme="minorHAnsi"/>
          <w:bCs/>
        </w:rPr>
        <w:t xml:space="preserve"> hlediska výnosnosti jednotlivých tříd aktiv se situace oproti předchozímu čtvrtletí změnila. V průběhu roku dluhopisové fondy těžily z uvolňování měnové politiky a panující nervozity na finančních trzích. Uvolnění geopolitického napětí z půli prosince ale vedlo investory k přesunu spíše do rizikovějších tříd aktiv, což mělo na výnosy dluhopisových fondů negativní vliv. </w:t>
      </w:r>
    </w:p>
    <w:p w14:paraId="71B16457" w14:textId="77777777" w:rsidR="00B13251" w:rsidRPr="00B13251" w:rsidRDefault="00B13251" w:rsidP="00B13251">
      <w:pPr>
        <w:jc w:val="both"/>
        <w:rPr>
          <w:rFonts w:asciiTheme="minorHAnsi" w:hAnsiTheme="minorHAnsi" w:cstheme="minorHAnsi"/>
          <w:bCs/>
        </w:rPr>
      </w:pPr>
      <w:r w:rsidRPr="00B13251">
        <w:rPr>
          <w:rFonts w:asciiTheme="minorHAnsi" w:hAnsiTheme="minorHAnsi" w:cstheme="minorHAnsi"/>
          <w:bCs/>
        </w:rPr>
        <w:t>V závěrečném čtvrtletí roku 2019 se tak dluhopisovým fondům příliš nedařilo. Platí to zejména pro fondy investující do státních dluhopisů. Naopak úspěšné byly fondy investující do takzvaných „</w:t>
      </w:r>
      <w:proofErr w:type="spellStart"/>
      <w:r w:rsidRPr="00B13251">
        <w:rPr>
          <w:rFonts w:asciiTheme="minorHAnsi" w:hAnsiTheme="minorHAnsi" w:cstheme="minorHAnsi"/>
          <w:bCs/>
        </w:rPr>
        <w:t>high</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yield</w:t>
      </w:r>
      <w:proofErr w:type="spellEnd"/>
      <w:r w:rsidRPr="00B13251">
        <w:rPr>
          <w:rFonts w:asciiTheme="minorHAnsi" w:hAnsiTheme="minorHAnsi" w:cstheme="minorHAnsi"/>
          <w:bCs/>
        </w:rPr>
        <w:t>“ dluhopisů.</w:t>
      </w:r>
    </w:p>
    <w:p w14:paraId="3D634B60" w14:textId="77777777" w:rsidR="00B13251" w:rsidRPr="00B13251" w:rsidRDefault="00B13251" w:rsidP="00B13251">
      <w:pPr>
        <w:jc w:val="both"/>
        <w:rPr>
          <w:rFonts w:asciiTheme="minorHAnsi" w:hAnsiTheme="minorHAnsi" w:cstheme="minorHAnsi"/>
          <w:bCs/>
        </w:rPr>
      </w:pPr>
      <w:r w:rsidRPr="00B13251">
        <w:rPr>
          <w:rFonts w:asciiTheme="minorHAnsi" w:hAnsiTheme="minorHAnsi" w:cstheme="minorHAnsi"/>
          <w:bCs/>
        </w:rPr>
        <w:t xml:space="preserve">Z pohledu sektorů jednoznačně dominoval technologický sektor. Na ten se také zaměřují tří nejvýnosnější fondy roku 2019, tedy </w:t>
      </w:r>
      <w:proofErr w:type="spellStart"/>
      <w:r w:rsidRPr="00B13251">
        <w:rPr>
          <w:rFonts w:asciiTheme="minorHAnsi" w:hAnsiTheme="minorHAnsi" w:cstheme="minorHAnsi"/>
          <w:bCs/>
        </w:rPr>
        <w:t>Fidelity</w:t>
      </w:r>
      <w:proofErr w:type="spellEnd"/>
      <w:r w:rsidRPr="00B13251">
        <w:rPr>
          <w:rFonts w:asciiTheme="minorHAnsi" w:hAnsiTheme="minorHAnsi" w:cstheme="minorHAnsi"/>
          <w:bCs/>
        </w:rPr>
        <w:t xml:space="preserve"> </w:t>
      </w:r>
      <w:proofErr w:type="spellStart"/>
      <w:proofErr w:type="gramStart"/>
      <w:r w:rsidRPr="00B13251">
        <w:rPr>
          <w:rFonts w:asciiTheme="minorHAnsi" w:hAnsiTheme="minorHAnsi" w:cstheme="minorHAnsi"/>
          <w:bCs/>
        </w:rPr>
        <w:t>Funds</w:t>
      </w:r>
      <w:proofErr w:type="spellEnd"/>
      <w:r w:rsidRPr="00B13251">
        <w:rPr>
          <w:rFonts w:asciiTheme="minorHAnsi" w:hAnsiTheme="minorHAnsi" w:cstheme="minorHAnsi"/>
          <w:bCs/>
        </w:rPr>
        <w:t xml:space="preserve"> - </w:t>
      </w:r>
      <w:proofErr w:type="spellStart"/>
      <w:r w:rsidRPr="00B13251">
        <w:rPr>
          <w:rFonts w:asciiTheme="minorHAnsi" w:hAnsiTheme="minorHAnsi" w:cstheme="minorHAnsi"/>
          <w:bCs/>
        </w:rPr>
        <w:t>Global</w:t>
      </w:r>
      <w:proofErr w:type="spellEnd"/>
      <w:proofErr w:type="gramEnd"/>
      <w:r w:rsidRPr="00B13251">
        <w:rPr>
          <w:rFonts w:asciiTheme="minorHAnsi" w:hAnsiTheme="minorHAnsi" w:cstheme="minorHAnsi"/>
          <w:bCs/>
        </w:rPr>
        <w:t xml:space="preserve"> Technology Y-EUR, Franklin Technology A (</w:t>
      </w:r>
      <w:proofErr w:type="spellStart"/>
      <w:r w:rsidRPr="00B13251">
        <w:rPr>
          <w:rFonts w:asciiTheme="minorHAnsi" w:hAnsiTheme="minorHAnsi" w:cstheme="minorHAnsi"/>
          <w:bCs/>
        </w:rPr>
        <w:t>acc</w:t>
      </w:r>
      <w:proofErr w:type="spellEnd"/>
      <w:r w:rsidRPr="00B13251">
        <w:rPr>
          <w:rFonts w:asciiTheme="minorHAnsi" w:hAnsiTheme="minorHAnsi" w:cstheme="minorHAnsi"/>
          <w:bCs/>
        </w:rPr>
        <w:t xml:space="preserve">) EUR a JPM </w:t>
      </w:r>
      <w:proofErr w:type="spellStart"/>
      <w:r w:rsidRPr="00B13251">
        <w:rPr>
          <w:rFonts w:asciiTheme="minorHAnsi" w:hAnsiTheme="minorHAnsi" w:cstheme="minorHAnsi"/>
          <w:bCs/>
        </w:rPr>
        <w:t>Europe</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Dynamic</w:t>
      </w:r>
      <w:proofErr w:type="spellEnd"/>
      <w:r w:rsidRPr="00B13251">
        <w:rPr>
          <w:rFonts w:asciiTheme="minorHAnsi" w:hAnsiTheme="minorHAnsi" w:cstheme="minorHAnsi"/>
          <w:bCs/>
        </w:rPr>
        <w:t xml:space="preserve"> Technologies A </w:t>
      </w:r>
      <w:proofErr w:type="spellStart"/>
      <w:r w:rsidRPr="00B13251">
        <w:rPr>
          <w:rFonts w:asciiTheme="minorHAnsi" w:hAnsiTheme="minorHAnsi" w:cstheme="minorHAnsi"/>
          <w:bCs/>
        </w:rPr>
        <w:t>Acc</w:t>
      </w:r>
      <w:proofErr w:type="spellEnd"/>
      <w:r w:rsidRPr="00B13251">
        <w:rPr>
          <w:rFonts w:asciiTheme="minorHAnsi" w:hAnsiTheme="minorHAnsi" w:cstheme="minorHAnsi"/>
          <w:bCs/>
        </w:rPr>
        <w:t xml:space="preserve"> EUR.</w:t>
      </w:r>
    </w:p>
    <w:p w14:paraId="254F7FC3" w14:textId="77777777" w:rsidR="00B13251" w:rsidRPr="00B13251" w:rsidRDefault="00B13251" w:rsidP="00B13251">
      <w:pPr>
        <w:jc w:val="both"/>
        <w:rPr>
          <w:rFonts w:asciiTheme="minorHAnsi" w:hAnsiTheme="minorHAnsi" w:cstheme="minorHAnsi"/>
          <w:bCs/>
        </w:rPr>
      </w:pPr>
      <w:r w:rsidRPr="00B13251">
        <w:rPr>
          <w:rFonts w:asciiTheme="minorHAnsi" w:hAnsiTheme="minorHAnsi" w:cstheme="minorHAnsi"/>
          <w:bCs/>
        </w:rPr>
        <w:t>Franklin Biotechnology Discovery A (</w:t>
      </w:r>
      <w:proofErr w:type="spellStart"/>
      <w:r w:rsidRPr="00B13251">
        <w:rPr>
          <w:rFonts w:asciiTheme="minorHAnsi" w:hAnsiTheme="minorHAnsi" w:cstheme="minorHAnsi"/>
          <w:bCs/>
        </w:rPr>
        <w:t>acc</w:t>
      </w:r>
      <w:proofErr w:type="spellEnd"/>
      <w:r w:rsidRPr="00B13251">
        <w:rPr>
          <w:rFonts w:asciiTheme="minorHAnsi" w:hAnsiTheme="minorHAnsi" w:cstheme="minorHAnsi"/>
          <w:bCs/>
        </w:rPr>
        <w:t xml:space="preserve">) USD a TOP STOCKS - </w:t>
      </w:r>
      <w:proofErr w:type="spellStart"/>
      <w:r w:rsidRPr="00B13251">
        <w:rPr>
          <w:rFonts w:asciiTheme="minorHAnsi" w:hAnsiTheme="minorHAnsi" w:cstheme="minorHAnsi"/>
          <w:bCs/>
        </w:rPr>
        <w:t>o.p.f</w:t>
      </w:r>
      <w:proofErr w:type="spellEnd"/>
      <w:r w:rsidRPr="00B13251">
        <w:rPr>
          <w:rFonts w:asciiTheme="minorHAnsi" w:hAnsiTheme="minorHAnsi" w:cstheme="minorHAnsi"/>
          <w:bCs/>
        </w:rPr>
        <w:t xml:space="preserve">.  se umístily na prvních dvou místech výkonnostní tabulky za poslední čtvrtletí roku 2019. Jejich investiční politika se zaměřovala na akciové tituly zdravotnictví, technologický sektor nebo cyklické sektory zbytné spotřeby. Třetí místo obsadil Allianz </w:t>
      </w:r>
      <w:proofErr w:type="spellStart"/>
      <w:r w:rsidRPr="00B13251">
        <w:rPr>
          <w:rFonts w:asciiTheme="minorHAnsi" w:hAnsiTheme="minorHAnsi" w:cstheme="minorHAnsi"/>
          <w:bCs/>
        </w:rPr>
        <w:t>Europe</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Equity</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Growth</w:t>
      </w:r>
      <w:proofErr w:type="spellEnd"/>
      <w:r w:rsidRPr="00B13251">
        <w:rPr>
          <w:rFonts w:asciiTheme="minorHAnsi" w:hAnsiTheme="minorHAnsi" w:cstheme="minorHAnsi"/>
          <w:bCs/>
        </w:rPr>
        <w:t xml:space="preserve"> </w:t>
      </w:r>
      <w:proofErr w:type="spellStart"/>
      <w:proofErr w:type="gramStart"/>
      <w:r w:rsidRPr="00B13251">
        <w:rPr>
          <w:rFonts w:asciiTheme="minorHAnsi" w:hAnsiTheme="minorHAnsi" w:cstheme="minorHAnsi"/>
          <w:bCs/>
        </w:rPr>
        <w:t>Select</w:t>
      </w:r>
      <w:proofErr w:type="spellEnd"/>
      <w:r w:rsidRPr="00B13251">
        <w:rPr>
          <w:rFonts w:asciiTheme="minorHAnsi" w:hAnsiTheme="minorHAnsi" w:cstheme="minorHAnsi"/>
          <w:bCs/>
        </w:rPr>
        <w:t xml:space="preserve"> - A</w:t>
      </w:r>
      <w:proofErr w:type="gramEnd"/>
      <w:r w:rsidRPr="00B13251">
        <w:rPr>
          <w:rFonts w:asciiTheme="minorHAnsi" w:hAnsiTheme="minorHAnsi" w:cstheme="minorHAnsi"/>
          <w:bCs/>
        </w:rPr>
        <w:t xml:space="preserve"> (H2-CZK). V konkurenci dvou předchozích fondů se tak prosazuje portfolio orientované na akcie evropských společností s aktivitami například v oblasti průmyslu nebo informačních technologií.  </w:t>
      </w:r>
    </w:p>
    <w:p w14:paraId="75E5262A" w14:textId="77777777" w:rsidR="00B13251" w:rsidRPr="00B13251" w:rsidRDefault="00B13251" w:rsidP="00B13251">
      <w:pPr>
        <w:jc w:val="both"/>
        <w:rPr>
          <w:rFonts w:asciiTheme="minorHAnsi" w:hAnsiTheme="minorHAnsi" w:cstheme="minorHAnsi"/>
          <w:bCs/>
          <w:u w:val="single"/>
        </w:rPr>
      </w:pPr>
      <w:r w:rsidRPr="00B13251">
        <w:rPr>
          <w:rFonts w:asciiTheme="minorHAnsi" w:hAnsiTheme="minorHAnsi" w:cstheme="minorHAnsi"/>
          <w:bCs/>
          <w:u w:val="single"/>
        </w:rPr>
        <w:t>Tabulka: Deset nejvýnosnějších a deset nejméně výnosných fondů indexu</w:t>
      </w:r>
    </w:p>
    <w:p w14:paraId="349D4FDF" w14:textId="77777777" w:rsidR="00B13251" w:rsidRDefault="00B13251" w:rsidP="00B13251">
      <w:r>
        <w:rPr>
          <w:noProof/>
          <w:lang w:eastAsia="cs-CZ"/>
        </w:rPr>
        <w:drawing>
          <wp:inline distT="0" distB="0" distL="0" distR="0" wp14:anchorId="40D12EB0" wp14:editId="660DCE3C">
            <wp:extent cx="5384800" cy="2801306"/>
            <wp:effectExtent l="0" t="0" r="635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894" cy="2807598"/>
                    </a:xfrm>
                    <a:prstGeom prst="rect">
                      <a:avLst/>
                    </a:prstGeom>
                    <a:noFill/>
                    <a:ln>
                      <a:noFill/>
                    </a:ln>
                  </pic:spPr>
                </pic:pic>
              </a:graphicData>
            </a:graphic>
          </wp:inline>
        </w:drawing>
      </w:r>
    </w:p>
    <w:p w14:paraId="72F620A7" w14:textId="3AADB248" w:rsidR="00B13251" w:rsidRDefault="00B13251" w:rsidP="00B13251">
      <w:r>
        <w:t xml:space="preserve">Zdroj: CII750, </w:t>
      </w:r>
      <w:proofErr w:type="spellStart"/>
      <w:r>
        <w:t>Swiss</w:t>
      </w:r>
      <w:proofErr w:type="spellEnd"/>
      <w:r>
        <w:t xml:space="preserve"> </w:t>
      </w:r>
      <w:proofErr w:type="spellStart"/>
      <w:r>
        <w:t>Life</w:t>
      </w:r>
      <w:proofErr w:type="spellEnd"/>
      <w:r>
        <w:t xml:space="preserve"> </w:t>
      </w:r>
      <w:proofErr w:type="spellStart"/>
      <w:r>
        <w:t>Select</w:t>
      </w:r>
      <w:proofErr w:type="spellEnd"/>
      <w:r>
        <w:t xml:space="preserve"> a Thomson Reuters, </w:t>
      </w:r>
    </w:p>
    <w:p w14:paraId="69C3002D" w14:textId="120DDE14" w:rsidR="00B13251" w:rsidRDefault="00B13251" w:rsidP="00785F97">
      <w:pPr>
        <w:jc w:val="both"/>
        <w:rPr>
          <w:rFonts w:asciiTheme="minorHAnsi" w:hAnsiTheme="minorHAnsi" w:cstheme="minorHAnsi"/>
          <w:bCs/>
        </w:rPr>
      </w:pPr>
    </w:p>
    <w:p w14:paraId="476AE1BB" w14:textId="77777777" w:rsidR="00B13251" w:rsidRPr="00B13251" w:rsidRDefault="00B13251" w:rsidP="00B13251">
      <w:pPr>
        <w:jc w:val="both"/>
        <w:rPr>
          <w:rFonts w:asciiTheme="minorHAnsi" w:hAnsiTheme="minorHAnsi" w:cstheme="minorHAnsi"/>
          <w:bCs/>
        </w:rPr>
      </w:pPr>
    </w:p>
    <w:p w14:paraId="6A62AC35" w14:textId="77777777" w:rsidR="00B13251" w:rsidRPr="00B13251" w:rsidRDefault="00B13251" w:rsidP="00B13251">
      <w:pPr>
        <w:jc w:val="both"/>
        <w:rPr>
          <w:rFonts w:asciiTheme="minorHAnsi" w:hAnsiTheme="minorHAnsi" w:cstheme="minorHAnsi"/>
          <w:bCs/>
        </w:rPr>
      </w:pPr>
      <w:proofErr w:type="spellStart"/>
      <w:r w:rsidRPr="00B13251">
        <w:rPr>
          <w:rFonts w:asciiTheme="minorHAnsi" w:hAnsiTheme="minorHAnsi" w:cstheme="minorHAnsi"/>
          <w:b/>
        </w:rPr>
        <w:t>Disclaimer</w:t>
      </w:r>
      <w:proofErr w:type="spellEnd"/>
      <w:r w:rsidRPr="00B13251">
        <w:rPr>
          <w:rFonts w:asciiTheme="minorHAnsi" w:hAnsiTheme="minorHAnsi" w:cstheme="minorHAnsi"/>
          <w:b/>
        </w:rPr>
        <w:t>:</w:t>
      </w:r>
      <w:r w:rsidRPr="00B13251">
        <w:rPr>
          <w:rFonts w:asciiTheme="minorHAnsi" w:hAnsiTheme="minorHAnsi" w:cstheme="minorHAnsi"/>
          <w:bCs/>
        </w:rPr>
        <w:t xml:space="preserve"> Index CII750 a data publikovaná v jeho souvislosti je možné šířit pouze s označením „Index českého investora CII750 společnosti </w:t>
      </w:r>
      <w:proofErr w:type="spellStart"/>
      <w:r w:rsidRPr="00B13251">
        <w:rPr>
          <w:rFonts w:asciiTheme="minorHAnsi" w:hAnsiTheme="minorHAnsi" w:cstheme="minorHAnsi"/>
          <w:bCs/>
        </w:rPr>
        <w:t>Swiss</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Life</w:t>
      </w:r>
      <w:proofErr w:type="spellEnd"/>
      <w:r w:rsidRPr="00B13251">
        <w:rPr>
          <w:rFonts w:asciiTheme="minorHAnsi" w:hAnsiTheme="minorHAnsi" w:cstheme="minorHAnsi"/>
          <w:bCs/>
        </w:rPr>
        <w:t xml:space="preserve"> </w:t>
      </w:r>
      <w:proofErr w:type="spellStart"/>
      <w:r w:rsidRPr="00B13251">
        <w:rPr>
          <w:rFonts w:asciiTheme="minorHAnsi" w:hAnsiTheme="minorHAnsi" w:cstheme="minorHAnsi"/>
          <w:bCs/>
        </w:rPr>
        <w:t>Select</w:t>
      </w:r>
      <w:proofErr w:type="spellEnd"/>
      <w:r w:rsidRPr="00B13251">
        <w:rPr>
          <w:rFonts w:asciiTheme="minorHAnsi" w:hAnsiTheme="minorHAnsi" w:cstheme="minorHAnsi"/>
          <w:bCs/>
        </w:rPr>
        <w:t>“ a uvedením zdroje „www.cii750.cz“ (v případě internetových médií s aktivním proklikem na www.cii750.cz). Index a veškeré zde uvedené informace mají pouze informativní charakter. Provozovatel neodpovídá za případnou škodu způsobenou užitím těchto informací.</w:t>
      </w:r>
    </w:p>
    <w:p w14:paraId="66754EF5" w14:textId="77777777" w:rsidR="00B13251" w:rsidRPr="00B13251" w:rsidRDefault="00B13251" w:rsidP="00B13251">
      <w:pPr>
        <w:jc w:val="both"/>
        <w:rPr>
          <w:rFonts w:asciiTheme="minorHAnsi" w:hAnsiTheme="minorHAnsi" w:cstheme="minorHAnsi"/>
          <w:bCs/>
        </w:rPr>
      </w:pPr>
      <w:r w:rsidRPr="00B13251">
        <w:rPr>
          <w:rFonts w:asciiTheme="minorHAnsi" w:hAnsiTheme="minorHAnsi" w:cstheme="minorHAnsi"/>
          <w:b/>
        </w:rPr>
        <w:t>Poznámky pro editory:</w:t>
      </w:r>
      <w:r w:rsidRPr="00B13251">
        <w:rPr>
          <w:rFonts w:asciiTheme="minorHAnsi" w:hAnsiTheme="minorHAnsi" w:cstheme="minorHAnsi"/>
          <w:bCs/>
        </w:rPr>
        <w:t xml:space="preserve"> </w:t>
      </w:r>
      <w:r w:rsidRPr="00B13251">
        <w:rPr>
          <w:rStyle w:val="s1"/>
          <w:rFonts w:asciiTheme="minorHAnsi" w:hAnsiTheme="minorHAnsi"/>
          <w:color w:val="000000" w:themeColor="text1"/>
          <w:sz w:val="22"/>
          <w:szCs w:val="22"/>
          <w:lang w:eastAsia="cs-CZ"/>
        </w:rPr>
        <w:t xml:space="preserve">Index českého investora (CII750) Index sestavují analytici společností </w:t>
      </w:r>
      <w:proofErr w:type="spellStart"/>
      <w:r w:rsidRPr="00B13251">
        <w:rPr>
          <w:rStyle w:val="s1"/>
          <w:rFonts w:asciiTheme="minorHAnsi" w:hAnsiTheme="minorHAnsi"/>
          <w:color w:val="000000" w:themeColor="text1"/>
          <w:sz w:val="22"/>
          <w:szCs w:val="22"/>
          <w:lang w:eastAsia="cs-CZ"/>
        </w:rPr>
        <w:t>Swiss</w:t>
      </w:r>
      <w:proofErr w:type="spellEnd"/>
      <w:r w:rsidRPr="00B13251">
        <w:rPr>
          <w:rStyle w:val="s1"/>
          <w:rFonts w:asciiTheme="minorHAnsi" w:hAnsiTheme="minorHAnsi"/>
          <w:color w:val="000000" w:themeColor="text1"/>
          <w:sz w:val="22"/>
          <w:szCs w:val="22"/>
          <w:lang w:eastAsia="cs-CZ"/>
        </w:rPr>
        <w:t xml:space="preserve"> </w:t>
      </w:r>
      <w:proofErr w:type="spellStart"/>
      <w:r w:rsidRPr="00B13251">
        <w:rPr>
          <w:rStyle w:val="s1"/>
          <w:rFonts w:asciiTheme="minorHAnsi" w:hAnsiTheme="minorHAnsi"/>
          <w:color w:val="000000" w:themeColor="text1"/>
          <w:sz w:val="22"/>
          <w:szCs w:val="22"/>
          <w:lang w:eastAsia="cs-CZ"/>
        </w:rPr>
        <w:t>Life</w:t>
      </w:r>
      <w:proofErr w:type="spellEnd"/>
      <w:r w:rsidRPr="00B13251">
        <w:rPr>
          <w:rStyle w:val="s1"/>
          <w:rFonts w:asciiTheme="minorHAnsi" w:hAnsiTheme="minorHAnsi"/>
          <w:color w:val="000000" w:themeColor="text1"/>
          <w:sz w:val="22"/>
          <w:szCs w:val="22"/>
          <w:lang w:eastAsia="cs-CZ"/>
        </w:rPr>
        <w:t xml:space="preserve"> </w:t>
      </w:r>
      <w:proofErr w:type="spellStart"/>
      <w:r w:rsidRPr="00B13251">
        <w:rPr>
          <w:rStyle w:val="s1"/>
          <w:rFonts w:asciiTheme="minorHAnsi" w:hAnsiTheme="minorHAnsi"/>
          <w:color w:val="000000" w:themeColor="text1"/>
          <w:sz w:val="22"/>
          <w:szCs w:val="22"/>
          <w:lang w:eastAsia="cs-CZ"/>
        </w:rPr>
        <w:t>Select</w:t>
      </w:r>
      <w:proofErr w:type="spellEnd"/>
      <w:r w:rsidRPr="00B13251">
        <w:rPr>
          <w:rStyle w:val="s1"/>
          <w:rFonts w:asciiTheme="minorHAnsi" w:hAnsiTheme="minorHAnsi"/>
          <w:color w:val="000000" w:themeColor="text1"/>
          <w:sz w:val="22"/>
          <w:szCs w:val="22"/>
          <w:lang w:eastAsia="cs-CZ"/>
        </w:rPr>
        <w:t xml:space="preserve"> a Thomson Reuters za použití informací ze 750 fondů kolektivního investování, které jsou pro českého investora na domácím trhu běžně dostupné. Při jeho výpočtu odborníci sledují nejen výnosnost fondů, ale i jejich váhy v celkovém investičním portfoliu v České republice. Pro nastavení vah jsou využívána data ze čtvrtletních zpráv o podílových fondech v ČR, které vydává Asociace pro kapitálový trh ČR (AKAT). Index je vypočítáván od 1. 1. 2018, kdy je jeho základní hodnota na 100.</w:t>
      </w:r>
    </w:p>
    <w:p w14:paraId="3D6307D0" w14:textId="77777777" w:rsidR="00B13251" w:rsidRPr="00B13251" w:rsidRDefault="00B13251" w:rsidP="00B13251">
      <w:pPr>
        <w:jc w:val="both"/>
        <w:rPr>
          <w:rFonts w:asciiTheme="minorHAnsi" w:hAnsiTheme="minorHAnsi" w:cstheme="minorHAnsi"/>
          <w:bCs/>
        </w:rPr>
      </w:pPr>
      <w:r w:rsidRPr="00B13251">
        <w:rPr>
          <w:rFonts w:asciiTheme="minorHAnsi" w:hAnsiTheme="minorHAnsi" w:cstheme="minorHAnsi"/>
          <w:bCs/>
        </w:rPr>
        <w:t>www.cii750.cz</w:t>
      </w:r>
    </w:p>
    <w:p w14:paraId="70AAFFC4" w14:textId="3C2E4F81" w:rsidR="000519DC" w:rsidRDefault="000519DC" w:rsidP="000519DC">
      <w:pPr>
        <w:pStyle w:val="p1"/>
        <w:rPr>
          <w:rStyle w:val="s1"/>
          <w:rFonts w:asciiTheme="minorHAnsi" w:hAnsiTheme="minorHAnsi" w:cstheme="minorHAnsi"/>
          <w:color w:val="000000" w:themeColor="text1"/>
          <w:sz w:val="22"/>
          <w:szCs w:val="22"/>
        </w:rPr>
      </w:pPr>
      <w:proofErr w:type="spellStart"/>
      <w:r w:rsidRPr="007D0832">
        <w:rPr>
          <w:rStyle w:val="s1"/>
          <w:rFonts w:asciiTheme="minorHAnsi" w:hAnsiTheme="minorHAnsi" w:cstheme="minorHAnsi"/>
          <w:b/>
          <w:color w:val="000000" w:themeColor="text1"/>
          <w:sz w:val="22"/>
          <w:szCs w:val="22"/>
        </w:rPr>
        <w:t>Fincentrum</w:t>
      </w:r>
      <w:proofErr w:type="spellEnd"/>
      <w:r w:rsidRPr="007D0832">
        <w:rPr>
          <w:rStyle w:val="s1"/>
          <w:rFonts w:asciiTheme="minorHAnsi" w:hAnsiTheme="minorHAnsi" w:cstheme="minorHAnsi"/>
          <w:b/>
          <w:color w:val="000000" w:themeColor="text1"/>
          <w:sz w:val="22"/>
          <w:szCs w:val="22"/>
        </w:rPr>
        <w:t xml:space="preserve"> &amp; </w:t>
      </w:r>
      <w:proofErr w:type="spellStart"/>
      <w:r w:rsidRPr="007D0832">
        <w:rPr>
          <w:rStyle w:val="s1"/>
          <w:rFonts w:asciiTheme="minorHAnsi" w:hAnsiTheme="minorHAnsi" w:cstheme="minorHAnsi"/>
          <w:b/>
          <w:color w:val="000000" w:themeColor="text1"/>
          <w:sz w:val="22"/>
          <w:szCs w:val="22"/>
        </w:rPr>
        <w:t>Swiss</w:t>
      </w:r>
      <w:proofErr w:type="spellEnd"/>
      <w:r w:rsidRPr="007D0832">
        <w:rPr>
          <w:rStyle w:val="s1"/>
          <w:rFonts w:asciiTheme="minorHAnsi" w:hAnsiTheme="minorHAnsi" w:cstheme="minorHAnsi"/>
          <w:b/>
          <w:color w:val="000000" w:themeColor="text1"/>
          <w:sz w:val="22"/>
          <w:szCs w:val="22"/>
        </w:rPr>
        <w:t xml:space="preserve"> </w:t>
      </w:r>
      <w:proofErr w:type="spellStart"/>
      <w:r w:rsidRPr="007D0832">
        <w:rPr>
          <w:rStyle w:val="s1"/>
          <w:rFonts w:asciiTheme="minorHAnsi" w:hAnsiTheme="minorHAnsi" w:cstheme="minorHAnsi"/>
          <w:b/>
          <w:color w:val="000000" w:themeColor="text1"/>
          <w:sz w:val="22"/>
          <w:szCs w:val="22"/>
        </w:rPr>
        <w:t>Life</w:t>
      </w:r>
      <w:proofErr w:type="spellEnd"/>
      <w:r w:rsidRPr="007D0832">
        <w:rPr>
          <w:rStyle w:val="s1"/>
          <w:rFonts w:asciiTheme="minorHAnsi" w:hAnsiTheme="minorHAnsi" w:cstheme="minorHAnsi"/>
          <w:b/>
          <w:color w:val="000000" w:themeColor="text1"/>
          <w:sz w:val="22"/>
          <w:szCs w:val="22"/>
        </w:rPr>
        <w:t xml:space="preserve"> Select </w:t>
      </w:r>
      <w:r w:rsidRPr="007D0832">
        <w:rPr>
          <w:rStyle w:val="s1"/>
          <w:rFonts w:asciiTheme="minorHAnsi" w:hAnsiTheme="minorHAnsi" w:cstheme="minorHAnsi"/>
          <w:bCs/>
          <w:color w:val="000000" w:themeColor="text1"/>
          <w:sz w:val="22"/>
          <w:szCs w:val="22"/>
        </w:rPr>
        <w:t>je přední finančně-poradenskou společností</w:t>
      </w:r>
      <w:r>
        <w:rPr>
          <w:rStyle w:val="s1"/>
          <w:rFonts w:asciiTheme="minorHAnsi" w:hAnsiTheme="minorHAnsi" w:cstheme="minorHAnsi"/>
          <w:bCs/>
          <w:color w:val="000000" w:themeColor="text1"/>
          <w:sz w:val="22"/>
          <w:szCs w:val="22"/>
        </w:rPr>
        <w:t xml:space="preserve"> v České republice</w:t>
      </w:r>
      <w:r w:rsidRPr="007D0832">
        <w:rPr>
          <w:rStyle w:val="s1"/>
          <w:rFonts w:asciiTheme="minorHAnsi" w:hAnsiTheme="minorHAnsi" w:cstheme="minorHAnsi"/>
          <w:bCs/>
          <w:color w:val="000000" w:themeColor="text1"/>
          <w:sz w:val="22"/>
          <w:szCs w:val="22"/>
        </w:rPr>
        <w:t xml:space="preserve">, která poskytuje komplexní finanční služby na nejvyšší kvalitativní úrovni. </w:t>
      </w:r>
      <w:r>
        <w:rPr>
          <w:rStyle w:val="s1"/>
          <w:rFonts w:asciiTheme="minorHAnsi" w:hAnsiTheme="minorHAnsi" w:cstheme="minorHAnsi"/>
          <w:bCs/>
          <w:color w:val="000000" w:themeColor="text1"/>
          <w:sz w:val="22"/>
          <w:szCs w:val="22"/>
        </w:rPr>
        <w:t>J</w:t>
      </w:r>
      <w:r w:rsidRPr="007D0832">
        <w:rPr>
          <w:rStyle w:val="s1"/>
          <w:rFonts w:asciiTheme="minorHAnsi" w:hAnsiTheme="minorHAnsi" w:cstheme="minorHAnsi"/>
          <w:bCs/>
          <w:color w:val="000000" w:themeColor="text1"/>
          <w:sz w:val="22"/>
          <w:szCs w:val="22"/>
        </w:rPr>
        <w:t xml:space="preserve">e součástí finanční švýcarské skupiny Swiss Life, předního poskytovatele penzijních a finančních řešení v Evropě s tradicí již více než 160 let. </w:t>
      </w:r>
      <w:r w:rsidRPr="007D0832">
        <w:rPr>
          <w:rStyle w:val="s1"/>
          <w:rFonts w:asciiTheme="minorHAnsi" w:hAnsiTheme="minorHAnsi" w:cstheme="minorHAnsi"/>
          <w:color w:val="000000" w:themeColor="text1"/>
          <w:sz w:val="22"/>
          <w:szCs w:val="22"/>
        </w:rPr>
        <w:t xml:space="preserve">Skupina spravuje aktiva v hodnotě 254 mld. CHF, zaměstnává přibližně 8 600 osob a zhruba 14 000 profesionálních finančních poradců. Akcie Swiss Life jsou obchodovány na burze v Curychu a jsou rovněž zařazeny do hlavního indexu SLI (Swiss Leader Index), který zahrnuje 20 největších společností obchodovaných na burzách ve Švýcarsku.  </w:t>
      </w:r>
    </w:p>
    <w:p w14:paraId="6B22F823" w14:textId="77777777" w:rsidR="000519DC" w:rsidRPr="005931F1" w:rsidRDefault="000519DC" w:rsidP="000519DC">
      <w:pPr>
        <w:pStyle w:val="p1"/>
        <w:rPr>
          <w:rStyle w:val="s1"/>
          <w:rFonts w:asciiTheme="minorHAnsi" w:hAnsiTheme="minorHAnsi" w:cstheme="minorHAnsi"/>
          <w:bCs/>
          <w:color w:val="000000" w:themeColor="text1"/>
          <w:sz w:val="22"/>
          <w:szCs w:val="22"/>
        </w:rPr>
      </w:pPr>
      <w:r>
        <w:rPr>
          <w:rStyle w:val="s1"/>
          <w:rFonts w:asciiTheme="minorHAnsi" w:hAnsiTheme="minorHAnsi" w:cstheme="minorHAnsi"/>
          <w:color w:val="000000" w:themeColor="text1"/>
          <w:sz w:val="22"/>
          <w:szCs w:val="22"/>
        </w:rPr>
        <w:t xml:space="preserve">Více na </w:t>
      </w:r>
      <w:hyperlink r:id="rId10" w:history="1">
        <w:r w:rsidRPr="00A6601A">
          <w:rPr>
            <w:rStyle w:val="Hypertextovodkaz"/>
            <w:rFonts w:asciiTheme="minorHAnsi" w:hAnsiTheme="minorHAnsi" w:cstheme="minorHAnsi"/>
            <w:sz w:val="22"/>
            <w:szCs w:val="22"/>
          </w:rPr>
          <w:t>www.fcsls.cz</w:t>
        </w:r>
      </w:hyperlink>
      <w:r>
        <w:rPr>
          <w:rStyle w:val="s1"/>
          <w:rFonts w:asciiTheme="minorHAnsi" w:hAnsiTheme="minorHAnsi" w:cstheme="minorHAnsi"/>
          <w:color w:val="000000" w:themeColor="text1"/>
          <w:sz w:val="22"/>
          <w:szCs w:val="22"/>
        </w:rPr>
        <w:t xml:space="preserve"> a </w:t>
      </w:r>
      <w:hyperlink r:id="rId11" w:history="1">
        <w:r w:rsidRPr="00A6601A">
          <w:rPr>
            <w:rStyle w:val="Hypertextovodkaz"/>
            <w:rFonts w:asciiTheme="minorHAnsi" w:hAnsiTheme="minorHAnsi" w:cstheme="minorHAnsi"/>
            <w:sz w:val="22"/>
            <w:szCs w:val="22"/>
          </w:rPr>
          <w:t>www.swisslife.com</w:t>
        </w:r>
      </w:hyperlink>
      <w:r>
        <w:rPr>
          <w:rStyle w:val="s1"/>
          <w:rFonts w:asciiTheme="minorHAnsi" w:hAnsiTheme="minorHAnsi" w:cstheme="minorHAnsi"/>
          <w:color w:val="000000" w:themeColor="text1"/>
          <w:sz w:val="22"/>
          <w:szCs w:val="22"/>
        </w:rPr>
        <w:t>.</w:t>
      </w:r>
    </w:p>
    <w:p w14:paraId="0223A8D2" w14:textId="77777777" w:rsidR="004E5A39" w:rsidRDefault="004E5A39" w:rsidP="004E5A39">
      <w:pPr>
        <w:pStyle w:val="p1"/>
        <w:rPr>
          <w:rStyle w:val="s1"/>
          <w:rFonts w:asciiTheme="minorHAnsi" w:hAnsiTheme="minorHAnsi" w:cstheme="minorHAnsi"/>
          <w:sz w:val="22"/>
          <w:szCs w:val="22"/>
        </w:rPr>
      </w:pPr>
    </w:p>
    <w:p w14:paraId="35CB8817" w14:textId="22C53234" w:rsidR="004E5A39" w:rsidRPr="004352E1" w:rsidRDefault="004E5A39" w:rsidP="004E5A39">
      <w:pPr>
        <w:pStyle w:val="p1"/>
        <w:rPr>
          <w:rFonts w:asciiTheme="minorHAnsi" w:hAnsiTheme="minorHAnsi" w:cstheme="minorHAnsi"/>
          <w:sz w:val="22"/>
          <w:szCs w:val="22"/>
        </w:rPr>
      </w:pPr>
      <w:r w:rsidRPr="004352E1">
        <w:rPr>
          <w:rStyle w:val="s1"/>
          <w:rFonts w:asciiTheme="minorHAnsi" w:hAnsiTheme="minorHAnsi" w:cstheme="minorHAnsi"/>
          <w:sz w:val="22"/>
          <w:szCs w:val="22"/>
        </w:rPr>
        <w:t xml:space="preserve">Společnost </w:t>
      </w:r>
      <w:proofErr w:type="spellStart"/>
      <w:r w:rsidRPr="004352E1">
        <w:rPr>
          <w:rStyle w:val="s1"/>
          <w:rFonts w:asciiTheme="minorHAnsi" w:hAnsiTheme="minorHAnsi" w:cstheme="minorHAnsi"/>
          <w:sz w:val="22"/>
          <w:szCs w:val="22"/>
        </w:rPr>
        <w:t>Fincentrum</w:t>
      </w:r>
      <w:proofErr w:type="spellEnd"/>
      <w:r w:rsidRPr="004352E1">
        <w:rPr>
          <w:rStyle w:val="s1"/>
          <w:rFonts w:asciiTheme="minorHAnsi" w:hAnsiTheme="minorHAnsi" w:cstheme="minorHAnsi"/>
          <w:sz w:val="22"/>
          <w:szCs w:val="22"/>
        </w:rPr>
        <w:t xml:space="preserve"> &amp; </w:t>
      </w:r>
      <w:proofErr w:type="spellStart"/>
      <w:r w:rsidRPr="004352E1">
        <w:rPr>
          <w:rStyle w:val="s1"/>
          <w:rFonts w:asciiTheme="minorHAnsi" w:hAnsiTheme="minorHAnsi" w:cstheme="minorHAnsi"/>
          <w:sz w:val="22"/>
          <w:szCs w:val="22"/>
        </w:rPr>
        <w:t>Swiss</w:t>
      </w:r>
      <w:proofErr w:type="spellEnd"/>
      <w:r w:rsidRPr="004352E1">
        <w:rPr>
          <w:rStyle w:val="s1"/>
          <w:rFonts w:asciiTheme="minorHAnsi" w:hAnsiTheme="minorHAnsi" w:cstheme="minorHAnsi"/>
          <w:sz w:val="22"/>
          <w:szCs w:val="22"/>
        </w:rPr>
        <w:t xml:space="preserve"> </w:t>
      </w:r>
      <w:proofErr w:type="spellStart"/>
      <w:r w:rsidRPr="004352E1">
        <w:rPr>
          <w:rStyle w:val="s1"/>
          <w:rFonts w:asciiTheme="minorHAnsi" w:hAnsiTheme="minorHAnsi" w:cstheme="minorHAnsi"/>
          <w:sz w:val="22"/>
          <w:szCs w:val="22"/>
        </w:rPr>
        <w:t>Life</w:t>
      </w:r>
      <w:proofErr w:type="spellEnd"/>
      <w:r w:rsidRPr="004352E1">
        <w:rPr>
          <w:rStyle w:val="s1"/>
          <w:rFonts w:asciiTheme="minorHAnsi" w:hAnsiTheme="minorHAnsi" w:cstheme="minorHAnsi"/>
          <w:sz w:val="22"/>
          <w:szCs w:val="22"/>
        </w:rPr>
        <w:t xml:space="preserve"> Select a.s. zveřejňuje také každý měsíc hodnoty ukazatele </w:t>
      </w:r>
      <w:proofErr w:type="spellStart"/>
      <w:r w:rsidRPr="004352E1">
        <w:rPr>
          <w:rStyle w:val="s1"/>
          <w:rFonts w:asciiTheme="minorHAnsi" w:hAnsiTheme="minorHAnsi" w:cstheme="minorHAnsi"/>
          <w:b/>
          <w:bCs/>
          <w:sz w:val="22"/>
          <w:szCs w:val="22"/>
        </w:rPr>
        <w:t>Fincentrum</w:t>
      </w:r>
      <w:proofErr w:type="spellEnd"/>
      <w:r w:rsidRPr="004352E1">
        <w:rPr>
          <w:rStyle w:val="s1"/>
          <w:rFonts w:asciiTheme="minorHAnsi" w:hAnsiTheme="minorHAnsi" w:cstheme="minorHAnsi"/>
          <w:b/>
          <w:bCs/>
          <w:sz w:val="22"/>
          <w:szCs w:val="22"/>
        </w:rPr>
        <w:t xml:space="preserve"> </w:t>
      </w:r>
      <w:proofErr w:type="spellStart"/>
      <w:r w:rsidRPr="004352E1">
        <w:rPr>
          <w:rStyle w:val="s1"/>
          <w:rFonts w:asciiTheme="minorHAnsi" w:hAnsiTheme="minorHAnsi" w:cstheme="minorHAnsi"/>
          <w:b/>
          <w:bCs/>
          <w:sz w:val="22"/>
          <w:szCs w:val="22"/>
        </w:rPr>
        <w:t>Hypoindex</w:t>
      </w:r>
      <w:proofErr w:type="spellEnd"/>
      <w:r w:rsidRPr="004352E1">
        <w:rPr>
          <w:rStyle w:val="s1"/>
          <w:rFonts w:asciiTheme="minorHAnsi" w:hAnsiTheme="minorHAnsi" w:cstheme="minorHAnsi"/>
          <w:b/>
          <w:bCs/>
          <w:sz w:val="22"/>
          <w:szCs w:val="22"/>
        </w:rPr>
        <w:t>®</w:t>
      </w:r>
      <w:r w:rsidRPr="004352E1">
        <w:rPr>
          <w:rStyle w:val="s1"/>
          <w:rFonts w:asciiTheme="minorHAnsi" w:hAnsiTheme="minorHAnsi" w:cstheme="minorHAnsi"/>
          <w:sz w:val="22"/>
          <w:szCs w:val="22"/>
        </w:rPr>
        <w:t xml:space="preserve"> a čtvrtletně </w:t>
      </w:r>
      <w:r w:rsidRPr="004352E1">
        <w:rPr>
          <w:rStyle w:val="s1"/>
          <w:rFonts w:asciiTheme="minorHAnsi" w:hAnsiTheme="minorHAnsi" w:cstheme="minorHAnsi"/>
          <w:b/>
          <w:bCs/>
          <w:sz w:val="22"/>
          <w:szCs w:val="22"/>
        </w:rPr>
        <w:t>Index českého investora CII750</w:t>
      </w:r>
      <w:r w:rsidRPr="004352E1">
        <w:rPr>
          <w:rStyle w:val="s1"/>
          <w:rFonts w:asciiTheme="minorHAnsi" w:hAnsiTheme="minorHAnsi" w:cstheme="minorHAnsi"/>
          <w:sz w:val="22"/>
          <w:szCs w:val="22"/>
        </w:rPr>
        <w:t xml:space="preserve">. Dále provozuje odborné portály </w:t>
      </w:r>
      <w:hyperlink r:id="rId12" w:history="1">
        <w:r w:rsidRPr="004352E1">
          <w:rPr>
            <w:rStyle w:val="Hypertextovodkaz"/>
            <w:rFonts w:asciiTheme="minorHAnsi" w:hAnsiTheme="minorHAnsi" w:cstheme="minorHAnsi"/>
            <w:sz w:val="22"/>
            <w:szCs w:val="22"/>
          </w:rPr>
          <w:t>investujeme.cz</w:t>
        </w:r>
      </w:hyperlink>
      <w:r w:rsidRPr="004352E1">
        <w:rPr>
          <w:rStyle w:val="s1"/>
          <w:rFonts w:asciiTheme="minorHAnsi" w:hAnsiTheme="minorHAnsi" w:cstheme="minorHAnsi"/>
          <w:sz w:val="22"/>
          <w:szCs w:val="22"/>
        </w:rPr>
        <w:t xml:space="preserve"> a </w:t>
      </w:r>
      <w:hyperlink r:id="rId13" w:history="1">
        <w:r w:rsidRPr="004352E1">
          <w:rPr>
            <w:rStyle w:val="Hypertextovodkaz"/>
            <w:rFonts w:asciiTheme="minorHAnsi" w:hAnsiTheme="minorHAnsi" w:cstheme="minorHAnsi"/>
            <w:sz w:val="22"/>
            <w:szCs w:val="22"/>
          </w:rPr>
          <w:t>hypoindex.cz</w:t>
        </w:r>
      </w:hyperlink>
      <w:r w:rsidRPr="004352E1">
        <w:rPr>
          <w:rStyle w:val="s1"/>
          <w:rFonts w:asciiTheme="minorHAnsi" w:hAnsiTheme="minorHAnsi" w:cstheme="minorHAnsi"/>
          <w:sz w:val="22"/>
          <w:szCs w:val="22"/>
        </w:rPr>
        <w:t>.</w:t>
      </w:r>
      <w:r w:rsidRPr="004352E1">
        <w:rPr>
          <w:rFonts w:asciiTheme="minorHAnsi" w:hAnsiTheme="minorHAnsi" w:cstheme="minorHAnsi"/>
          <w:sz w:val="22"/>
          <w:szCs w:val="22"/>
        </w:rPr>
        <w:t xml:space="preserve"> </w:t>
      </w:r>
    </w:p>
    <w:p w14:paraId="37965352" w14:textId="613F2192" w:rsidR="000519DC" w:rsidRDefault="000519DC" w:rsidP="000519DC">
      <w:pPr>
        <w:pStyle w:val="p1"/>
        <w:rPr>
          <w:rStyle w:val="s1"/>
          <w:rFonts w:asciiTheme="minorHAnsi" w:hAnsiTheme="minorHAnsi" w:cstheme="minorHAnsi"/>
          <w:color w:val="000000" w:themeColor="text1"/>
          <w:sz w:val="22"/>
          <w:szCs w:val="22"/>
        </w:rPr>
      </w:pPr>
    </w:p>
    <w:p w14:paraId="4DF7C849" w14:textId="77777777" w:rsidR="004E5A39" w:rsidRPr="007D0832" w:rsidRDefault="004E5A39" w:rsidP="000519DC">
      <w:pPr>
        <w:pStyle w:val="p1"/>
        <w:rPr>
          <w:rStyle w:val="s1"/>
          <w:rFonts w:asciiTheme="minorHAnsi" w:hAnsiTheme="minorHAnsi" w:cstheme="minorHAnsi"/>
          <w:color w:val="000000" w:themeColor="text1"/>
          <w:sz w:val="22"/>
          <w:szCs w:val="22"/>
        </w:rPr>
      </w:pPr>
    </w:p>
    <w:p w14:paraId="1D074D54" w14:textId="77777777" w:rsidR="000519DC" w:rsidRDefault="000519DC" w:rsidP="000519DC">
      <w:pPr>
        <w:spacing w:line="240" w:lineRule="auto"/>
        <w:rPr>
          <w:color w:val="000000" w:themeColor="text1"/>
        </w:rPr>
      </w:pPr>
      <w:r w:rsidRPr="007D0832">
        <w:rPr>
          <w:b/>
          <w:bCs/>
          <w:color w:val="000000" w:themeColor="text1"/>
        </w:rPr>
        <w:t>Thomson Reuters</w:t>
      </w:r>
      <w:r w:rsidRPr="007D0832">
        <w:rPr>
          <w:color w:val="000000" w:themeColor="text1"/>
        </w:rPr>
        <w:t xml:space="preserve"> je přední zpravodajskou agenturou a poskytovatelem informací pro finanční trhy. Klienti Thomson Reuters se spoléhají na poskytované technologie a odborné znalosti, které vedou k nalezení spolehlivých a přesných odpovědí. Společnost působí více než 100 zemích a byla založena před více než 100 lety. Akcie společnosti Thomson Reuters jsou kótovány na burze cenných papírů v Torontu a New Yorku. Více informací naleznete na </w:t>
      </w:r>
      <w:hyperlink r:id="rId14" w:history="1">
        <w:r w:rsidRPr="00A6601A">
          <w:rPr>
            <w:rStyle w:val="Hypertextovodkaz"/>
          </w:rPr>
          <w:t>www.thomsonreuters.cz</w:t>
        </w:r>
      </w:hyperlink>
    </w:p>
    <w:p w14:paraId="21D42207" w14:textId="6C7FF664" w:rsidR="00785F97" w:rsidRDefault="00785F97" w:rsidP="00FF1AAB">
      <w:pPr>
        <w:spacing w:after="0" w:line="240" w:lineRule="auto"/>
        <w:rPr>
          <w:rFonts w:asciiTheme="minorHAnsi" w:hAnsiTheme="minorHAnsi" w:cstheme="minorHAnsi"/>
        </w:rPr>
      </w:pPr>
    </w:p>
    <w:p w14:paraId="041C476D" w14:textId="77777777" w:rsidR="000519DC" w:rsidRPr="00004D56" w:rsidRDefault="000519DC" w:rsidP="00FF1AAB">
      <w:pPr>
        <w:spacing w:after="0" w:line="240" w:lineRule="auto"/>
        <w:rPr>
          <w:rFonts w:asciiTheme="minorHAnsi" w:hAnsiTheme="minorHAnsi" w:cstheme="minorHAnsi"/>
          <w:b/>
        </w:rPr>
      </w:pPr>
    </w:p>
    <w:p w14:paraId="289CE0A2" w14:textId="77777777" w:rsidR="00782AC6" w:rsidRPr="00004D56" w:rsidRDefault="00782AC6" w:rsidP="00FF1AAB">
      <w:pPr>
        <w:pStyle w:val="p1"/>
        <w:rPr>
          <w:rFonts w:asciiTheme="minorHAnsi" w:hAnsiTheme="minorHAnsi" w:cstheme="minorHAnsi"/>
          <w:sz w:val="22"/>
          <w:szCs w:val="22"/>
        </w:rPr>
      </w:pPr>
      <w:r w:rsidRPr="00004D56">
        <w:rPr>
          <w:rStyle w:val="s1"/>
          <w:rFonts w:asciiTheme="minorHAnsi" w:hAnsiTheme="minorHAnsi" w:cstheme="minorHAnsi"/>
          <w:sz w:val="22"/>
          <w:szCs w:val="22"/>
        </w:rPr>
        <w:t>V případě zájmu o další informace kontaktujte:</w:t>
      </w:r>
    </w:p>
    <w:p w14:paraId="256264E5" w14:textId="345E5D88" w:rsidR="00782AC6" w:rsidRPr="00004D56" w:rsidRDefault="00782AC6" w:rsidP="00FF1AAB">
      <w:pPr>
        <w:pStyle w:val="p2"/>
        <w:rPr>
          <w:rFonts w:asciiTheme="minorHAnsi" w:hAnsiTheme="minorHAnsi" w:cstheme="minorHAnsi"/>
          <w:sz w:val="22"/>
          <w:szCs w:val="22"/>
        </w:rPr>
      </w:pPr>
    </w:p>
    <w:p w14:paraId="7B652066" w14:textId="77777777" w:rsidR="00004D56" w:rsidRPr="00004D56" w:rsidRDefault="00004D56" w:rsidP="00FF1AAB">
      <w:pPr>
        <w:pStyle w:val="p2"/>
        <w:rPr>
          <w:rFonts w:asciiTheme="minorHAnsi" w:hAnsiTheme="minorHAnsi" w:cstheme="minorHAnsi"/>
          <w:sz w:val="22"/>
          <w:szCs w:val="22"/>
        </w:rPr>
      </w:pPr>
    </w:p>
    <w:p w14:paraId="4AC567F4" w14:textId="77777777" w:rsidR="00782AC6" w:rsidRPr="00004D56" w:rsidRDefault="00782AC6" w:rsidP="00FF1AAB">
      <w:pPr>
        <w:pStyle w:val="p1"/>
        <w:rPr>
          <w:rFonts w:asciiTheme="minorHAnsi" w:hAnsiTheme="minorHAnsi" w:cstheme="minorHAnsi"/>
          <w:b/>
          <w:sz w:val="22"/>
          <w:szCs w:val="22"/>
        </w:rPr>
      </w:pPr>
      <w:r w:rsidRPr="00004D56">
        <w:rPr>
          <w:rStyle w:val="s1"/>
          <w:rFonts w:asciiTheme="minorHAnsi" w:hAnsiTheme="minorHAnsi" w:cstheme="minorHAnsi"/>
          <w:b/>
          <w:sz w:val="22"/>
          <w:szCs w:val="22"/>
        </w:rPr>
        <w:t>Miroslav Beneš</w:t>
      </w:r>
    </w:p>
    <w:p w14:paraId="1231CF6A" w14:textId="77777777" w:rsidR="00782AC6" w:rsidRPr="00004D56" w:rsidRDefault="00782AC6" w:rsidP="00FF1AAB">
      <w:pPr>
        <w:pStyle w:val="p1"/>
        <w:rPr>
          <w:rFonts w:asciiTheme="minorHAnsi" w:hAnsiTheme="minorHAnsi" w:cstheme="minorHAnsi"/>
          <w:sz w:val="22"/>
          <w:szCs w:val="22"/>
        </w:rPr>
      </w:pPr>
      <w:r w:rsidRPr="00004D56">
        <w:rPr>
          <w:rStyle w:val="s1"/>
          <w:rFonts w:asciiTheme="minorHAnsi" w:hAnsiTheme="minorHAnsi" w:cstheme="minorHAnsi"/>
          <w:sz w:val="22"/>
          <w:szCs w:val="22"/>
        </w:rPr>
        <w:t>Mobil: +420 603 174 347</w:t>
      </w:r>
    </w:p>
    <w:p w14:paraId="1BEECBD5" w14:textId="77777777" w:rsidR="00782AC6" w:rsidRPr="00004D56" w:rsidRDefault="00782AC6" w:rsidP="00FF1AAB">
      <w:pPr>
        <w:pStyle w:val="p1"/>
        <w:rPr>
          <w:rStyle w:val="apple-converted-space"/>
          <w:rFonts w:asciiTheme="minorHAnsi" w:hAnsiTheme="minorHAnsi" w:cstheme="minorHAnsi"/>
          <w:sz w:val="22"/>
          <w:szCs w:val="22"/>
        </w:rPr>
      </w:pPr>
      <w:r w:rsidRPr="00004D56">
        <w:rPr>
          <w:rStyle w:val="s1"/>
          <w:rFonts w:asciiTheme="minorHAnsi" w:hAnsiTheme="minorHAnsi" w:cstheme="minorHAnsi"/>
          <w:sz w:val="22"/>
          <w:szCs w:val="22"/>
        </w:rPr>
        <w:t xml:space="preserve">E-mail: </w:t>
      </w:r>
      <w:hyperlink r:id="rId15" w:history="1">
        <w:r w:rsidRPr="00004D56">
          <w:rPr>
            <w:rStyle w:val="Hypertextovodkaz"/>
            <w:rFonts w:asciiTheme="minorHAnsi" w:hAnsiTheme="minorHAnsi" w:cstheme="minorHAnsi"/>
            <w:sz w:val="22"/>
            <w:szCs w:val="22"/>
          </w:rPr>
          <w:t>miroslav.benes@benesgroup.cz</w:t>
        </w:r>
      </w:hyperlink>
      <w:r w:rsidRPr="00004D56">
        <w:rPr>
          <w:rStyle w:val="apple-converted-space"/>
          <w:rFonts w:asciiTheme="minorHAnsi" w:hAnsiTheme="minorHAnsi" w:cstheme="minorHAnsi"/>
          <w:sz w:val="22"/>
          <w:szCs w:val="22"/>
        </w:rPr>
        <w:t> </w:t>
      </w:r>
    </w:p>
    <w:p w14:paraId="1F352111" w14:textId="77777777" w:rsidR="007D0832" w:rsidRPr="007D0832" w:rsidRDefault="007D0832" w:rsidP="007D0832">
      <w:pPr>
        <w:spacing w:line="240" w:lineRule="auto"/>
        <w:rPr>
          <w:color w:val="808080" w:themeColor="background1" w:themeShade="80"/>
        </w:rPr>
      </w:pPr>
    </w:p>
    <w:p w14:paraId="6E8AA6F5" w14:textId="77777777" w:rsidR="007D0832" w:rsidRPr="00004D56" w:rsidRDefault="007D0832" w:rsidP="00C6135F">
      <w:pPr>
        <w:pStyle w:val="p1"/>
        <w:rPr>
          <w:rStyle w:val="s1"/>
          <w:rFonts w:asciiTheme="minorHAnsi" w:hAnsiTheme="minorHAnsi" w:cstheme="minorHAnsi"/>
          <w:sz w:val="22"/>
          <w:szCs w:val="22"/>
        </w:rPr>
      </w:pPr>
    </w:p>
    <w:sectPr w:rsidR="007D0832" w:rsidRPr="00004D56" w:rsidSect="00B13251">
      <w:headerReference w:type="even" r:id="rId16"/>
      <w:headerReference w:type="default" r:id="rId17"/>
      <w:footerReference w:type="even" r:id="rId18"/>
      <w:footerReference w:type="default" r:id="rId19"/>
      <w:headerReference w:type="first" r:id="rId20"/>
      <w:footerReference w:type="first" r:id="rId21"/>
      <w:pgSz w:w="11906" w:h="16838"/>
      <w:pgMar w:top="1985" w:right="851" w:bottom="1134" w:left="851" w:header="709"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4C88" w14:textId="77777777" w:rsidR="00A808EA" w:rsidRDefault="00A808EA" w:rsidP="003E5B74">
      <w:pPr>
        <w:spacing w:after="0" w:line="240" w:lineRule="auto"/>
      </w:pPr>
      <w:r>
        <w:separator/>
      </w:r>
    </w:p>
  </w:endnote>
  <w:endnote w:type="continuationSeparator" w:id="0">
    <w:p w14:paraId="02C1394B" w14:textId="77777777" w:rsidR="00A808EA" w:rsidRDefault="00A808EA" w:rsidP="003E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Arial"/>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egacy Serif ITC Pro Book">
    <w:altName w:val="Calibri"/>
    <w:panose1 w:val="00000000000000000000"/>
    <w:charset w:val="00"/>
    <w:family w:val="auto"/>
    <w:notTrueType/>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B060" w14:textId="77777777" w:rsidR="00F35035" w:rsidRDefault="00F350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176F" w14:textId="0D6C987E" w:rsidR="00BD2CA2" w:rsidRPr="00BD2CA2" w:rsidRDefault="002814BD" w:rsidP="00BD2CA2">
    <w:pPr>
      <w:pStyle w:val="Zpat"/>
      <w:tabs>
        <w:tab w:val="clear" w:pos="9072"/>
        <w:tab w:val="right" w:pos="9214"/>
      </w:tabs>
      <w:ind w:right="-426"/>
      <w:jc w:val="center"/>
      <w:rPr>
        <w:b/>
      </w:rPr>
    </w:pPr>
    <w:r>
      <w:rPr>
        <w:noProof/>
        <w:lang w:val="en-US"/>
      </w:rPr>
      <mc:AlternateContent>
        <mc:Choice Requires="wps">
          <w:drawing>
            <wp:anchor distT="45720" distB="45720" distL="114300" distR="114300" simplePos="0" relativeHeight="251658752" behindDoc="0" locked="0" layoutInCell="1" allowOverlap="1" wp14:anchorId="2CF70185" wp14:editId="1B0215CC">
              <wp:simplePos x="0" y="0"/>
              <wp:positionH relativeFrom="column">
                <wp:posOffset>4677410</wp:posOffset>
              </wp:positionH>
              <wp:positionV relativeFrom="paragraph">
                <wp:posOffset>753382</wp:posOffset>
              </wp:positionV>
              <wp:extent cx="1800225" cy="116205"/>
              <wp:effectExtent l="0" t="0" r="9525" b="1714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FBD0" w14:textId="303D7A3C" w:rsidR="00BD2CA2" w:rsidRPr="00521C4F" w:rsidRDefault="00E63F84" w:rsidP="00E63F84">
                          <w:pPr>
                            <w:pStyle w:val="Zpat"/>
                            <w:tabs>
                              <w:tab w:val="clear" w:pos="9072"/>
                              <w:tab w:val="right" w:pos="9214"/>
                            </w:tabs>
                            <w:jc w:val="right"/>
                          </w:pPr>
                          <w:r w:rsidRPr="00521C4F">
                            <w:rPr>
                              <w:rFonts w:ascii="Tahoma" w:hAnsi="Tahoma" w:cs="Tahoma"/>
                              <w:b/>
                              <w:sz w:val="12"/>
                              <w:szCs w:val="12"/>
                            </w:rPr>
                            <w:t>Stránka (</w:t>
                          </w:r>
                          <w:r w:rsidRPr="00521C4F">
                            <w:rPr>
                              <w:rFonts w:ascii="Tahoma" w:hAnsi="Tahoma" w:cs="Tahoma"/>
                              <w:b/>
                              <w:sz w:val="12"/>
                              <w:szCs w:val="12"/>
                            </w:rPr>
                            <w:fldChar w:fldCharType="begin"/>
                          </w:r>
                          <w:r w:rsidRPr="00521C4F">
                            <w:rPr>
                              <w:rFonts w:ascii="Tahoma" w:hAnsi="Tahoma" w:cs="Tahoma"/>
                              <w:b/>
                              <w:sz w:val="12"/>
                              <w:szCs w:val="12"/>
                            </w:rPr>
                            <w:instrText>PAGE</w:instrText>
                          </w:r>
                          <w:r w:rsidRPr="00521C4F">
                            <w:rPr>
                              <w:rFonts w:ascii="Tahoma" w:hAnsi="Tahoma" w:cs="Tahoma"/>
                              <w:b/>
                              <w:sz w:val="12"/>
                              <w:szCs w:val="12"/>
                            </w:rPr>
                            <w:fldChar w:fldCharType="separate"/>
                          </w:r>
                          <w:r w:rsidR="00AD7DA4">
                            <w:rPr>
                              <w:rFonts w:ascii="Tahoma" w:hAnsi="Tahoma" w:cs="Tahoma"/>
                              <w:b/>
                              <w:noProof/>
                              <w:sz w:val="12"/>
                              <w:szCs w:val="12"/>
                            </w:rPr>
                            <w:t>2</w:t>
                          </w:r>
                          <w:r w:rsidRPr="00521C4F">
                            <w:rPr>
                              <w:rFonts w:ascii="Tahoma" w:hAnsi="Tahoma" w:cs="Tahoma"/>
                              <w:b/>
                              <w:sz w:val="12"/>
                              <w:szCs w:val="12"/>
                            </w:rPr>
                            <w:fldChar w:fldCharType="end"/>
                          </w:r>
                          <w:r w:rsidRPr="00521C4F">
                            <w:rPr>
                              <w:rFonts w:ascii="Tahoma" w:hAnsi="Tahoma" w:cs="Tahoma"/>
                              <w:b/>
                              <w:sz w:val="12"/>
                              <w:szCs w:val="12"/>
                            </w:rPr>
                            <w:t xml:space="preserve"> z </w:t>
                          </w:r>
                          <w:r w:rsidRPr="00521C4F">
                            <w:rPr>
                              <w:rFonts w:ascii="Tahoma" w:hAnsi="Tahoma" w:cs="Tahoma"/>
                              <w:b/>
                              <w:sz w:val="12"/>
                              <w:szCs w:val="12"/>
                            </w:rPr>
                            <w:fldChar w:fldCharType="begin"/>
                          </w:r>
                          <w:r w:rsidRPr="00521C4F">
                            <w:rPr>
                              <w:rFonts w:ascii="Tahoma" w:hAnsi="Tahoma" w:cs="Tahoma"/>
                              <w:b/>
                              <w:sz w:val="12"/>
                              <w:szCs w:val="12"/>
                            </w:rPr>
                            <w:instrText>NUMPAGES</w:instrText>
                          </w:r>
                          <w:r w:rsidRPr="00521C4F">
                            <w:rPr>
                              <w:rFonts w:ascii="Tahoma" w:hAnsi="Tahoma" w:cs="Tahoma"/>
                              <w:b/>
                              <w:sz w:val="12"/>
                              <w:szCs w:val="12"/>
                            </w:rPr>
                            <w:fldChar w:fldCharType="separate"/>
                          </w:r>
                          <w:r w:rsidR="00AD7DA4">
                            <w:rPr>
                              <w:rFonts w:ascii="Tahoma" w:hAnsi="Tahoma" w:cs="Tahoma"/>
                              <w:b/>
                              <w:noProof/>
                              <w:sz w:val="12"/>
                              <w:szCs w:val="12"/>
                            </w:rPr>
                            <w:t>2</w:t>
                          </w:r>
                          <w:r w:rsidRPr="00521C4F">
                            <w:rPr>
                              <w:rFonts w:ascii="Tahoma" w:hAnsi="Tahoma" w:cs="Tahoma"/>
                              <w:b/>
                              <w:sz w:val="12"/>
                              <w:szCs w:val="12"/>
                            </w:rPr>
                            <w:fldChar w:fldCharType="end"/>
                          </w:r>
                          <w:r w:rsidRPr="00521C4F">
                            <w:rPr>
                              <w:rFonts w:ascii="Tahoma" w:hAnsi="Tahoma" w:cs="Tahoma"/>
                              <w:b/>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70185" id="_x0000_t202" coordsize="21600,21600" o:spt="202" path="m,l,21600r21600,l21600,xe">
              <v:stroke joinstyle="miter"/>
              <v:path gradientshapeok="t" o:connecttype="rect"/>
            </v:shapetype>
            <v:shape id="Textové pole 2" o:spid="_x0000_s1026" type="#_x0000_t202" style="position:absolute;left:0;text-align:left;margin-left:368.3pt;margin-top:59.3pt;width:141.75pt;height:9.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" filled="f" stroked="f">
              <v:textbox inset="0,0,0,0">
                <w:txbxContent>
                  <w:p w14:paraId="661AFBD0" w14:textId="303D7A3C" w:rsidR="00BD2CA2" w:rsidRPr="00521C4F" w:rsidRDefault="00E63F84" w:rsidP="00E63F84">
                    <w:pPr>
                      <w:pStyle w:val="Footer"/>
                      <w:tabs>
                        <w:tab w:val="clear" w:pos="9072"/>
                        <w:tab w:val="right" w:pos="9214"/>
                      </w:tabs>
                      <w:jc w:val="right"/>
                    </w:pPr>
                    <w:r w:rsidRPr="00521C4F">
                      <w:rPr>
                        <w:rFonts w:ascii="Tahoma" w:hAnsi="Tahoma" w:cs="Tahoma"/>
                        <w:b/>
                        <w:sz w:val="12"/>
                        <w:szCs w:val="12"/>
                      </w:rPr>
                      <w:t>Stránka (</w:t>
                    </w:r>
                    <w:r w:rsidRPr="00521C4F">
                      <w:rPr>
                        <w:rFonts w:ascii="Tahoma" w:hAnsi="Tahoma" w:cs="Tahoma"/>
                        <w:b/>
                        <w:sz w:val="12"/>
                        <w:szCs w:val="12"/>
                      </w:rPr>
                      <w:fldChar w:fldCharType="begin"/>
                    </w:r>
                    <w:r w:rsidRPr="00521C4F">
                      <w:rPr>
                        <w:rFonts w:ascii="Tahoma" w:hAnsi="Tahoma" w:cs="Tahoma"/>
                        <w:b/>
                        <w:sz w:val="12"/>
                        <w:szCs w:val="12"/>
                      </w:rPr>
                      <w:instrText>PAGE</w:instrText>
                    </w:r>
                    <w:r w:rsidRPr="00521C4F">
                      <w:rPr>
                        <w:rFonts w:ascii="Tahoma" w:hAnsi="Tahoma" w:cs="Tahoma"/>
                        <w:b/>
                        <w:sz w:val="12"/>
                        <w:szCs w:val="12"/>
                      </w:rPr>
                      <w:fldChar w:fldCharType="separate"/>
                    </w:r>
                    <w:r w:rsidR="00AD7DA4">
                      <w:rPr>
                        <w:rFonts w:ascii="Tahoma" w:hAnsi="Tahoma" w:cs="Tahoma"/>
                        <w:b/>
                        <w:noProof/>
                        <w:sz w:val="12"/>
                        <w:szCs w:val="12"/>
                      </w:rPr>
                      <w:t>2</w:t>
                    </w:r>
                    <w:r w:rsidRPr="00521C4F">
                      <w:rPr>
                        <w:rFonts w:ascii="Tahoma" w:hAnsi="Tahoma" w:cs="Tahoma"/>
                        <w:b/>
                        <w:sz w:val="12"/>
                        <w:szCs w:val="12"/>
                      </w:rPr>
                      <w:fldChar w:fldCharType="end"/>
                    </w:r>
                    <w:r w:rsidRPr="00521C4F">
                      <w:rPr>
                        <w:rFonts w:ascii="Tahoma" w:hAnsi="Tahoma" w:cs="Tahoma"/>
                        <w:b/>
                        <w:sz w:val="12"/>
                        <w:szCs w:val="12"/>
                      </w:rPr>
                      <w:t xml:space="preserve"> z </w:t>
                    </w:r>
                    <w:r w:rsidRPr="00521C4F">
                      <w:rPr>
                        <w:rFonts w:ascii="Tahoma" w:hAnsi="Tahoma" w:cs="Tahoma"/>
                        <w:b/>
                        <w:sz w:val="12"/>
                        <w:szCs w:val="12"/>
                      </w:rPr>
                      <w:fldChar w:fldCharType="begin"/>
                    </w:r>
                    <w:r w:rsidRPr="00521C4F">
                      <w:rPr>
                        <w:rFonts w:ascii="Tahoma" w:hAnsi="Tahoma" w:cs="Tahoma"/>
                        <w:b/>
                        <w:sz w:val="12"/>
                        <w:szCs w:val="12"/>
                      </w:rPr>
                      <w:instrText>NUMPAGES</w:instrText>
                    </w:r>
                    <w:r w:rsidRPr="00521C4F">
                      <w:rPr>
                        <w:rFonts w:ascii="Tahoma" w:hAnsi="Tahoma" w:cs="Tahoma"/>
                        <w:b/>
                        <w:sz w:val="12"/>
                        <w:szCs w:val="12"/>
                      </w:rPr>
                      <w:fldChar w:fldCharType="separate"/>
                    </w:r>
                    <w:r w:rsidR="00AD7DA4">
                      <w:rPr>
                        <w:rFonts w:ascii="Tahoma" w:hAnsi="Tahoma" w:cs="Tahoma"/>
                        <w:b/>
                        <w:noProof/>
                        <w:sz w:val="12"/>
                        <w:szCs w:val="12"/>
                      </w:rPr>
                      <w:t>2</w:t>
                    </w:r>
                    <w:r w:rsidRPr="00521C4F">
                      <w:rPr>
                        <w:rFonts w:ascii="Tahoma" w:hAnsi="Tahoma" w:cs="Tahoma"/>
                        <w:b/>
                        <w:sz w:val="12"/>
                        <w:szCs w:val="12"/>
                      </w:rPr>
                      <w:fldChar w:fldCharType="end"/>
                    </w:r>
                    <w:r w:rsidRPr="00521C4F">
                      <w:rPr>
                        <w:rFonts w:ascii="Tahoma" w:hAnsi="Tahoma" w:cs="Tahoma"/>
                        <w:b/>
                        <w:sz w:val="12"/>
                        <w:szCs w:val="12"/>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1245" w14:textId="77777777" w:rsidR="00F35035" w:rsidRDefault="00F350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59B2" w14:textId="77777777" w:rsidR="00A808EA" w:rsidRDefault="00A808EA" w:rsidP="003E5B74">
      <w:pPr>
        <w:spacing w:after="0" w:line="240" w:lineRule="auto"/>
      </w:pPr>
      <w:r>
        <w:separator/>
      </w:r>
    </w:p>
  </w:footnote>
  <w:footnote w:type="continuationSeparator" w:id="0">
    <w:p w14:paraId="0345B473" w14:textId="77777777" w:rsidR="00A808EA" w:rsidRDefault="00A808EA" w:rsidP="003E5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F2CF" w14:textId="77777777" w:rsidR="00F35035" w:rsidRDefault="00F350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2563" w14:textId="77777777" w:rsidR="003A27BA" w:rsidRPr="00F82948" w:rsidRDefault="00FF1AAB" w:rsidP="00FF1AAB">
    <w:pPr>
      <w:pStyle w:val="Zhlav"/>
      <w:spacing w:before="200"/>
      <w:rPr>
        <w:rFonts w:ascii="Tahoma" w:hAnsi="Tahoma" w:cs="Tahoma"/>
        <w:sz w:val="28"/>
        <w:szCs w:val="28"/>
      </w:rPr>
    </w:pPr>
    <w:r>
      <w:rPr>
        <w:noProof/>
        <w:lang w:val="en-US"/>
      </w:rPr>
      <w:drawing>
        <wp:anchor distT="0" distB="0" distL="114300" distR="114300" simplePos="0" relativeHeight="251660800" behindDoc="0" locked="0" layoutInCell="1" allowOverlap="1" wp14:anchorId="56248B06" wp14:editId="52F63A26">
          <wp:simplePos x="0" y="0"/>
          <wp:positionH relativeFrom="column">
            <wp:posOffset>63410</wp:posOffset>
          </wp:positionH>
          <wp:positionV relativeFrom="paragraph">
            <wp:posOffset>213451</wp:posOffset>
          </wp:positionV>
          <wp:extent cx="1828800" cy="343535"/>
          <wp:effectExtent l="0" t="0" r="0" b="0"/>
          <wp:wrapNone/>
          <wp:docPr id="27" name="Obrázek 27" descr="https://www.fincentrum.com/podnikejte-s-nami/images/fincent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centrum.com/podnikejte-s-nami/images/fincentru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776" behindDoc="0" locked="0" layoutInCell="1" allowOverlap="1" wp14:anchorId="4B219CE5" wp14:editId="638CD5E8">
          <wp:simplePos x="0" y="0"/>
          <wp:positionH relativeFrom="column">
            <wp:posOffset>4495800</wp:posOffset>
          </wp:positionH>
          <wp:positionV relativeFrom="paragraph">
            <wp:posOffset>-123190</wp:posOffset>
          </wp:positionV>
          <wp:extent cx="1897112" cy="941615"/>
          <wp:effectExtent l="0" t="0" r="8255" b="0"/>
          <wp:wrapNone/>
          <wp:docPr id="28" name="Obrázek 28" descr="https://encrypted-tbn0.gstatic.com/images?q=tbn:ANd9GcQf7eGiMk4XrFsXu66o2o7qKMcUw8vgTCKuI467K1XwmhMJaGO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f7eGiMk4XrFsXu66o2o7qKMcUw8vgTCKuI467K1XwmhMJaGOn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112" cy="941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4DC1" w14:textId="77777777" w:rsidR="00F35035" w:rsidRDefault="00F350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C0E36"/>
    <w:multiLevelType w:val="hybridMultilevel"/>
    <w:tmpl w:val="A802FEB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EF46057"/>
    <w:multiLevelType w:val="hybridMultilevel"/>
    <w:tmpl w:val="4D0C18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CD532B"/>
    <w:multiLevelType w:val="hybridMultilevel"/>
    <w:tmpl w:val="A81850EC"/>
    <w:lvl w:ilvl="0" w:tplc="700E385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74"/>
    <w:rsid w:val="00004D56"/>
    <w:rsid w:val="00005EED"/>
    <w:rsid w:val="000206F5"/>
    <w:rsid w:val="00022A00"/>
    <w:rsid w:val="000309DC"/>
    <w:rsid w:val="00033B56"/>
    <w:rsid w:val="000519DC"/>
    <w:rsid w:val="00063BD3"/>
    <w:rsid w:val="000770A5"/>
    <w:rsid w:val="000779DB"/>
    <w:rsid w:val="00097439"/>
    <w:rsid w:val="00104F01"/>
    <w:rsid w:val="0015090D"/>
    <w:rsid w:val="001639CE"/>
    <w:rsid w:val="001778AC"/>
    <w:rsid w:val="0019410B"/>
    <w:rsid w:val="001C55C4"/>
    <w:rsid w:val="001C67B1"/>
    <w:rsid w:val="001E3EAC"/>
    <w:rsid w:val="0020636C"/>
    <w:rsid w:val="00206F8F"/>
    <w:rsid w:val="00210BB4"/>
    <w:rsid w:val="002814BD"/>
    <w:rsid w:val="00296DD6"/>
    <w:rsid w:val="002A3F15"/>
    <w:rsid w:val="002A7068"/>
    <w:rsid w:val="002B0BC8"/>
    <w:rsid w:val="002F47A6"/>
    <w:rsid w:val="003001B1"/>
    <w:rsid w:val="00314C8B"/>
    <w:rsid w:val="0034077D"/>
    <w:rsid w:val="00345190"/>
    <w:rsid w:val="0037225A"/>
    <w:rsid w:val="003955BB"/>
    <w:rsid w:val="003A27BA"/>
    <w:rsid w:val="003B2932"/>
    <w:rsid w:val="003E5B74"/>
    <w:rsid w:val="00491B60"/>
    <w:rsid w:val="004B53FE"/>
    <w:rsid w:val="004E5A39"/>
    <w:rsid w:val="00521C4F"/>
    <w:rsid w:val="005359BB"/>
    <w:rsid w:val="00577DFE"/>
    <w:rsid w:val="00585BE0"/>
    <w:rsid w:val="005931F1"/>
    <w:rsid w:val="005B5A42"/>
    <w:rsid w:val="005D2A32"/>
    <w:rsid w:val="005D551B"/>
    <w:rsid w:val="006159EE"/>
    <w:rsid w:val="00623A33"/>
    <w:rsid w:val="00634A88"/>
    <w:rsid w:val="006505C5"/>
    <w:rsid w:val="0065189F"/>
    <w:rsid w:val="00664DE6"/>
    <w:rsid w:val="0066580D"/>
    <w:rsid w:val="006E4331"/>
    <w:rsid w:val="006E4E0A"/>
    <w:rsid w:val="006F64EF"/>
    <w:rsid w:val="00710275"/>
    <w:rsid w:val="00747736"/>
    <w:rsid w:val="00751059"/>
    <w:rsid w:val="00757413"/>
    <w:rsid w:val="00782AC6"/>
    <w:rsid w:val="00785F97"/>
    <w:rsid w:val="007B4A82"/>
    <w:rsid w:val="007D0832"/>
    <w:rsid w:val="008457C1"/>
    <w:rsid w:val="00845DE1"/>
    <w:rsid w:val="008558E1"/>
    <w:rsid w:val="00871C70"/>
    <w:rsid w:val="0089714E"/>
    <w:rsid w:val="009217C0"/>
    <w:rsid w:val="00960FA5"/>
    <w:rsid w:val="00990400"/>
    <w:rsid w:val="00994DD1"/>
    <w:rsid w:val="009C6252"/>
    <w:rsid w:val="009F009F"/>
    <w:rsid w:val="00A4272C"/>
    <w:rsid w:val="00A808EA"/>
    <w:rsid w:val="00AD6ACA"/>
    <w:rsid w:val="00AD7DA4"/>
    <w:rsid w:val="00AE7B38"/>
    <w:rsid w:val="00B04A44"/>
    <w:rsid w:val="00B13251"/>
    <w:rsid w:val="00B223D0"/>
    <w:rsid w:val="00B653A9"/>
    <w:rsid w:val="00B76F14"/>
    <w:rsid w:val="00B82548"/>
    <w:rsid w:val="00BD11F1"/>
    <w:rsid w:val="00BD2CA2"/>
    <w:rsid w:val="00C6135F"/>
    <w:rsid w:val="00C90B35"/>
    <w:rsid w:val="00CC21E1"/>
    <w:rsid w:val="00D217CD"/>
    <w:rsid w:val="00D738A4"/>
    <w:rsid w:val="00D76C50"/>
    <w:rsid w:val="00DB0E41"/>
    <w:rsid w:val="00E02F73"/>
    <w:rsid w:val="00E205D9"/>
    <w:rsid w:val="00E31AA4"/>
    <w:rsid w:val="00E51F2C"/>
    <w:rsid w:val="00E63F84"/>
    <w:rsid w:val="00E94511"/>
    <w:rsid w:val="00E94966"/>
    <w:rsid w:val="00E96538"/>
    <w:rsid w:val="00ED794D"/>
    <w:rsid w:val="00EF040B"/>
    <w:rsid w:val="00EF5191"/>
    <w:rsid w:val="00F35035"/>
    <w:rsid w:val="00F435A8"/>
    <w:rsid w:val="00F72BCB"/>
    <w:rsid w:val="00F82948"/>
    <w:rsid w:val="00FD158F"/>
    <w:rsid w:val="00FD6E02"/>
    <w:rsid w:val="00FF1A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71874"/>
  <w15:chartTrackingRefBased/>
  <w15:docId w15:val="{B871A6A8-C4AB-44A4-AC22-56F12467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8E1"/>
    <w:pPr>
      <w:spacing w:after="200" w:line="276"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E5B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E5B74"/>
    <w:rPr>
      <w:rFonts w:ascii="Tahoma" w:hAnsi="Tahoma" w:cs="Tahoma"/>
      <w:sz w:val="16"/>
      <w:szCs w:val="16"/>
    </w:rPr>
  </w:style>
  <w:style w:type="paragraph" w:styleId="Zhlav">
    <w:name w:val="header"/>
    <w:basedOn w:val="Normln"/>
    <w:link w:val="ZhlavChar"/>
    <w:uiPriority w:val="99"/>
    <w:unhideWhenUsed/>
    <w:rsid w:val="003E5B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B74"/>
  </w:style>
  <w:style w:type="paragraph" w:styleId="Zpat">
    <w:name w:val="footer"/>
    <w:basedOn w:val="Normln"/>
    <w:link w:val="ZpatChar"/>
    <w:uiPriority w:val="99"/>
    <w:unhideWhenUsed/>
    <w:rsid w:val="003E5B74"/>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B74"/>
  </w:style>
  <w:style w:type="character" w:styleId="Hypertextovodkaz">
    <w:name w:val="Hyperlink"/>
    <w:rsid w:val="006E4E0A"/>
    <w:rPr>
      <w:rFonts w:cs="Times New Roman"/>
      <w:color w:val="0000FF"/>
      <w:u w:val="single"/>
    </w:rPr>
  </w:style>
  <w:style w:type="paragraph" w:styleId="Odstavecseseznamem">
    <w:name w:val="List Paragraph"/>
    <w:basedOn w:val="Normln"/>
    <w:uiPriority w:val="34"/>
    <w:qFormat/>
    <w:rsid w:val="006E4E0A"/>
    <w:pPr>
      <w:spacing w:after="160" w:line="259" w:lineRule="auto"/>
      <w:ind w:left="720"/>
      <w:contextualSpacing/>
    </w:pPr>
  </w:style>
  <w:style w:type="character" w:styleId="Sledovanodkaz">
    <w:name w:val="FollowedHyperlink"/>
    <w:uiPriority w:val="99"/>
    <w:semiHidden/>
    <w:unhideWhenUsed/>
    <w:rsid w:val="006E4E0A"/>
    <w:rPr>
      <w:color w:val="954F72"/>
      <w:u w:val="single"/>
    </w:rPr>
  </w:style>
  <w:style w:type="character" w:styleId="Odkaznakoment">
    <w:name w:val="annotation reference"/>
    <w:uiPriority w:val="99"/>
    <w:semiHidden/>
    <w:unhideWhenUsed/>
    <w:rsid w:val="006E4E0A"/>
    <w:rPr>
      <w:sz w:val="16"/>
      <w:szCs w:val="16"/>
    </w:rPr>
  </w:style>
  <w:style w:type="paragraph" w:styleId="Textkomente">
    <w:name w:val="annotation text"/>
    <w:basedOn w:val="Normln"/>
    <w:link w:val="TextkomenteChar"/>
    <w:uiPriority w:val="99"/>
    <w:semiHidden/>
    <w:unhideWhenUsed/>
    <w:rsid w:val="006E4E0A"/>
    <w:rPr>
      <w:sz w:val="20"/>
      <w:szCs w:val="20"/>
    </w:rPr>
  </w:style>
  <w:style w:type="character" w:customStyle="1" w:styleId="TextkomenteChar">
    <w:name w:val="Text komentáře Char"/>
    <w:link w:val="Textkomente"/>
    <w:uiPriority w:val="99"/>
    <w:semiHidden/>
    <w:rsid w:val="006E4E0A"/>
    <w:rPr>
      <w:lang w:eastAsia="en-US"/>
    </w:rPr>
  </w:style>
  <w:style w:type="paragraph" w:styleId="Pedmtkomente">
    <w:name w:val="annotation subject"/>
    <w:basedOn w:val="Textkomente"/>
    <w:next w:val="Textkomente"/>
    <w:link w:val="PedmtkomenteChar"/>
    <w:uiPriority w:val="99"/>
    <w:semiHidden/>
    <w:unhideWhenUsed/>
    <w:rsid w:val="006E4E0A"/>
    <w:rPr>
      <w:b/>
      <w:bCs/>
    </w:rPr>
  </w:style>
  <w:style w:type="character" w:customStyle="1" w:styleId="PedmtkomenteChar">
    <w:name w:val="Předmět komentáře Char"/>
    <w:link w:val="Pedmtkomente"/>
    <w:uiPriority w:val="99"/>
    <w:semiHidden/>
    <w:rsid w:val="006E4E0A"/>
    <w:rPr>
      <w:b/>
      <w:bCs/>
      <w:lang w:eastAsia="en-US"/>
    </w:rPr>
  </w:style>
  <w:style w:type="paragraph" w:styleId="Revize">
    <w:name w:val="Revision"/>
    <w:hidden/>
    <w:uiPriority w:val="99"/>
    <w:semiHidden/>
    <w:rsid w:val="006E4E0A"/>
    <w:rPr>
      <w:sz w:val="22"/>
      <w:szCs w:val="22"/>
      <w:lang w:val="cs-CZ"/>
    </w:rPr>
  </w:style>
  <w:style w:type="character" w:customStyle="1" w:styleId="apple-converted-space">
    <w:name w:val="apple-converted-space"/>
    <w:rsid w:val="00782AC6"/>
  </w:style>
  <w:style w:type="paragraph" w:customStyle="1" w:styleId="p1">
    <w:name w:val="p1"/>
    <w:basedOn w:val="Normln"/>
    <w:rsid w:val="00782AC6"/>
    <w:pPr>
      <w:spacing w:after="0" w:line="240" w:lineRule="auto"/>
    </w:pPr>
    <w:rPr>
      <w:rFonts w:ascii=".SF UI Text" w:hAnsi=".SF UI Text"/>
      <w:color w:val="454545"/>
      <w:sz w:val="26"/>
      <w:szCs w:val="26"/>
      <w:lang w:eastAsia="cs-CZ"/>
    </w:rPr>
  </w:style>
  <w:style w:type="paragraph" w:customStyle="1" w:styleId="p2">
    <w:name w:val="p2"/>
    <w:basedOn w:val="Normln"/>
    <w:rsid w:val="00782AC6"/>
    <w:pPr>
      <w:spacing w:after="0" w:line="240" w:lineRule="auto"/>
    </w:pPr>
    <w:rPr>
      <w:rFonts w:ascii=".SF UI Text" w:hAnsi=".SF UI Text"/>
      <w:color w:val="454545"/>
      <w:sz w:val="26"/>
      <w:szCs w:val="26"/>
      <w:lang w:eastAsia="cs-CZ"/>
    </w:rPr>
  </w:style>
  <w:style w:type="character" w:customStyle="1" w:styleId="s1">
    <w:name w:val="s1"/>
    <w:rsid w:val="00782AC6"/>
    <w:rPr>
      <w:rFonts w:ascii=".SFUIText" w:hAnsi=".SFUIText" w:hint="default"/>
      <w:b w:val="0"/>
      <w:bCs w:val="0"/>
      <w:i w:val="0"/>
      <w:iCs w:val="0"/>
      <w:sz w:val="34"/>
      <w:szCs w:val="34"/>
    </w:rPr>
  </w:style>
  <w:style w:type="character" w:styleId="Siln">
    <w:name w:val="Strong"/>
    <w:basedOn w:val="Standardnpsmoodstavce"/>
    <w:uiPriority w:val="22"/>
    <w:qFormat/>
    <w:rsid w:val="00C6135F"/>
    <w:rPr>
      <w:b/>
      <w:bCs/>
    </w:rPr>
  </w:style>
  <w:style w:type="paragraph" w:styleId="Normlnweb">
    <w:name w:val="Normal (Web)"/>
    <w:basedOn w:val="Normln"/>
    <w:uiPriority w:val="99"/>
    <w:semiHidden/>
    <w:unhideWhenUsed/>
    <w:rsid w:val="00D217C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Zkladntext4">
    <w:name w:val="Základní text (4)_"/>
    <w:basedOn w:val="Standardnpsmoodstavce"/>
    <w:link w:val="Zkladntext40"/>
    <w:rsid w:val="00F72BCB"/>
    <w:rPr>
      <w:rFonts w:ascii="Arial" w:eastAsia="Arial" w:hAnsi="Arial" w:cs="Arial"/>
      <w:shd w:val="clear" w:color="auto" w:fill="FFFFFF"/>
    </w:rPr>
  </w:style>
  <w:style w:type="paragraph" w:customStyle="1" w:styleId="Zkladntext40">
    <w:name w:val="Základní text (4)"/>
    <w:basedOn w:val="Normln"/>
    <w:link w:val="Zkladntext4"/>
    <w:rsid w:val="00F72BCB"/>
    <w:pPr>
      <w:widowControl w:val="0"/>
      <w:shd w:val="clear" w:color="auto" w:fill="FFFFFF"/>
      <w:spacing w:before="100" w:after="240" w:line="230" w:lineRule="exact"/>
    </w:pPr>
    <w:rPr>
      <w:rFonts w:ascii="Arial" w:eastAsia="Arial" w:hAnsi="Arial" w:cs="Arial"/>
      <w:sz w:val="20"/>
      <w:szCs w:val="20"/>
      <w:lang w:val="en-US"/>
    </w:rPr>
  </w:style>
  <w:style w:type="character" w:styleId="Nevyeenzmnka">
    <w:name w:val="Unresolved Mention"/>
    <w:basedOn w:val="Standardnpsmoodstavce"/>
    <w:uiPriority w:val="99"/>
    <w:semiHidden/>
    <w:unhideWhenUsed/>
    <w:rsid w:val="00004D56"/>
    <w:rPr>
      <w:color w:val="605E5C"/>
      <w:shd w:val="clear" w:color="auto" w:fill="E1DFDD"/>
    </w:rPr>
  </w:style>
  <w:style w:type="character" w:styleId="Zdraznn">
    <w:name w:val="Emphasis"/>
    <w:basedOn w:val="Standardnpsmoodstavce"/>
    <w:uiPriority w:val="20"/>
    <w:qFormat/>
    <w:rsid w:val="007D0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8923">
      <w:bodyDiv w:val="1"/>
      <w:marLeft w:val="0"/>
      <w:marRight w:val="0"/>
      <w:marTop w:val="0"/>
      <w:marBottom w:val="0"/>
      <w:divBdr>
        <w:top w:val="none" w:sz="0" w:space="0" w:color="auto"/>
        <w:left w:val="none" w:sz="0" w:space="0" w:color="auto"/>
        <w:bottom w:val="none" w:sz="0" w:space="0" w:color="auto"/>
        <w:right w:val="none" w:sz="0" w:space="0" w:color="auto"/>
      </w:divBdr>
    </w:div>
    <w:div w:id="246809712">
      <w:bodyDiv w:val="1"/>
      <w:marLeft w:val="0"/>
      <w:marRight w:val="0"/>
      <w:marTop w:val="0"/>
      <w:marBottom w:val="0"/>
      <w:divBdr>
        <w:top w:val="none" w:sz="0" w:space="0" w:color="auto"/>
        <w:left w:val="none" w:sz="0" w:space="0" w:color="auto"/>
        <w:bottom w:val="none" w:sz="0" w:space="0" w:color="auto"/>
        <w:right w:val="none" w:sz="0" w:space="0" w:color="auto"/>
      </w:divBdr>
    </w:div>
    <w:div w:id="608508098">
      <w:bodyDiv w:val="1"/>
      <w:marLeft w:val="0"/>
      <w:marRight w:val="0"/>
      <w:marTop w:val="0"/>
      <w:marBottom w:val="0"/>
      <w:divBdr>
        <w:top w:val="none" w:sz="0" w:space="0" w:color="auto"/>
        <w:left w:val="none" w:sz="0" w:space="0" w:color="auto"/>
        <w:bottom w:val="none" w:sz="0" w:space="0" w:color="auto"/>
        <w:right w:val="none" w:sz="0" w:space="0" w:color="auto"/>
      </w:divBdr>
    </w:div>
    <w:div w:id="1093088466">
      <w:bodyDiv w:val="1"/>
      <w:marLeft w:val="0"/>
      <w:marRight w:val="0"/>
      <w:marTop w:val="0"/>
      <w:marBottom w:val="0"/>
      <w:divBdr>
        <w:top w:val="none" w:sz="0" w:space="0" w:color="auto"/>
        <w:left w:val="none" w:sz="0" w:space="0" w:color="auto"/>
        <w:bottom w:val="none" w:sz="0" w:space="0" w:color="auto"/>
        <w:right w:val="none" w:sz="0" w:space="0" w:color="auto"/>
      </w:divBdr>
    </w:div>
    <w:div w:id="1114977590">
      <w:bodyDiv w:val="1"/>
      <w:marLeft w:val="0"/>
      <w:marRight w:val="0"/>
      <w:marTop w:val="0"/>
      <w:marBottom w:val="0"/>
      <w:divBdr>
        <w:top w:val="none" w:sz="0" w:space="0" w:color="auto"/>
        <w:left w:val="none" w:sz="0" w:space="0" w:color="auto"/>
        <w:bottom w:val="none" w:sz="0" w:space="0" w:color="auto"/>
        <w:right w:val="none" w:sz="0" w:space="0" w:color="auto"/>
      </w:divBdr>
    </w:div>
    <w:div w:id="1308777312">
      <w:bodyDiv w:val="1"/>
      <w:marLeft w:val="0"/>
      <w:marRight w:val="0"/>
      <w:marTop w:val="0"/>
      <w:marBottom w:val="0"/>
      <w:divBdr>
        <w:top w:val="none" w:sz="0" w:space="0" w:color="auto"/>
        <w:left w:val="none" w:sz="0" w:space="0" w:color="auto"/>
        <w:bottom w:val="none" w:sz="0" w:space="0" w:color="auto"/>
        <w:right w:val="none" w:sz="0" w:space="0" w:color="auto"/>
      </w:divBdr>
    </w:div>
    <w:div w:id="1716926974">
      <w:bodyDiv w:val="1"/>
      <w:marLeft w:val="0"/>
      <w:marRight w:val="0"/>
      <w:marTop w:val="0"/>
      <w:marBottom w:val="0"/>
      <w:divBdr>
        <w:top w:val="none" w:sz="0" w:space="0" w:color="auto"/>
        <w:left w:val="none" w:sz="0" w:space="0" w:color="auto"/>
        <w:bottom w:val="none" w:sz="0" w:space="0" w:color="auto"/>
        <w:right w:val="none" w:sz="0" w:space="0" w:color="auto"/>
      </w:divBdr>
    </w:div>
    <w:div w:id="19241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ypoindex.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nvestujeme.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life.com" TargetMode="External"/><Relationship Id="rId5" Type="http://schemas.openxmlformats.org/officeDocument/2006/relationships/webSettings" Target="webSettings.xml"/><Relationship Id="rId15" Type="http://schemas.openxmlformats.org/officeDocument/2006/relationships/hyperlink" Target="mailto:miroslav.benes@benesgroup.cz" TargetMode="External"/><Relationship Id="rId23" Type="http://schemas.openxmlformats.org/officeDocument/2006/relationships/theme" Target="theme/theme1.xml"/><Relationship Id="rId10" Type="http://schemas.openxmlformats.org/officeDocument/2006/relationships/hyperlink" Target="http://www.fcsls.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omsonreuters.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5630-AC0E-454C-B3DB-3F0A177E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813</Words>
  <Characters>4797</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5599</CharactersWithSpaces>
  <SharedDoc>false</SharedDoc>
  <HLinks>
    <vt:vector size="12" baseType="variant">
      <vt:variant>
        <vt:i4>2687013</vt:i4>
      </vt:variant>
      <vt:variant>
        <vt:i4>3</vt:i4>
      </vt:variant>
      <vt:variant>
        <vt:i4>0</vt:i4>
      </vt:variant>
      <vt:variant>
        <vt:i4>5</vt:i4>
      </vt:variant>
      <vt:variant>
        <vt:lpwstr>http://www.fincentrum.com/</vt:lpwstr>
      </vt:variant>
      <vt:variant>
        <vt:lpwstr/>
      </vt:variant>
      <vt:variant>
        <vt:i4>1704063</vt:i4>
      </vt:variant>
      <vt:variant>
        <vt:i4>0</vt:i4>
      </vt:variant>
      <vt:variant>
        <vt:i4>0</vt:i4>
      </vt:variant>
      <vt:variant>
        <vt:i4>5</vt:i4>
      </vt:variant>
      <vt:variant>
        <vt:lpwstr>mailto:miroslav.benes@benesgroup.cz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 Consulting Group s.r.o.</dc:creator>
  <cp:keywords/>
  <cp:lastModifiedBy>Milan Kriz</cp:lastModifiedBy>
  <cp:revision>3</cp:revision>
  <dcterms:created xsi:type="dcterms:W3CDTF">2020-02-06T12:06:00Z</dcterms:created>
  <dcterms:modified xsi:type="dcterms:W3CDTF">2020-02-06T12:13:00Z</dcterms:modified>
</cp:coreProperties>
</file>