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E638" w14:textId="311E3AD8" w:rsidR="005A647F" w:rsidRPr="0070273D" w:rsidRDefault="005D551B" w:rsidP="005A647F">
      <w:pPr>
        <w:spacing w:after="0"/>
        <w:rPr>
          <w:rFonts w:ascii="Legacy Serif ITC Pro Book" w:hAnsi="Legacy Serif ITC Pro Book" w:cs="Arial"/>
          <w:i/>
          <w:iCs/>
          <w:color w:val="808080" w:themeColor="background1" w:themeShade="80"/>
          <w:sz w:val="40"/>
          <w:szCs w:val="40"/>
        </w:rPr>
      </w:pPr>
      <w:r w:rsidRPr="0070273D">
        <w:rPr>
          <w:rFonts w:ascii="Legacy Serif ITC Pro Book" w:hAnsi="Legacy Serif ITC Pro Book" w:cs="Arial"/>
          <w:i/>
          <w:iCs/>
          <w:color w:val="808080" w:themeColor="background1" w:themeShade="80"/>
          <w:sz w:val="40"/>
          <w:szCs w:val="40"/>
        </w:rPr>
        <w:t>Tisková zpráva</w:t>
      </w:r>
    </w:p>
    <w:p w14:paraId="7C42F9B9" w14:textId="77777777" w:rsidR="00EC106E" w:rsidRPr="0070273D" w:rsidRDefault="00EC106E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40"/>
          <w:szCs w:val="40"/>
          <w:lang w:val="cs-CZ"/>
        </w:rPr>
      </w:pPr>
    </w:p>
    <w:p w14:paraId="1814AEF8" w14:textId="12EBD47A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40"/>
          <w:szCs w:val="40"/>
          <w:lang w:val="cs-CZ"/>
        </w:rPr>
      </w:pPr>
      <w:proofErr w:type="spellStart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>Fincentrum</w:t>
      </w:r>
      <w:proofErr w:type="spellEnd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 xml:space="preserve"> &amp; </w:t>
      </w:r>
      <w:proofErr w:type="spellStart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>Swiss</w:t>
      </w:r>
      <w:proofErr w:type="spellEnd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>Life</w:t>
      </w:r>
      <w:proofErr w:type="spellEnd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>Select</w:t>
      </w:r>
      <w:proofErr w:type="spellEnd"/>
      <w:r w:rsidRPr="0070273D">
        <w:rPr>
          <w:rFonts w:asciiTheme="minorHAnsi" w:hAnsiTheme="minorHAnsi" w:cstheme="minorHAnsi"/>
          <w:b/>
          <w:sz w:val="40"/>
          <w:szCs w:val="40"/>
          <w:lang w:val="cs-CZ"/>
        </w:rPr>
        <w:t xml:space="preserve"> Investice roku 2019</w:t>
      </w:r>
    </w:p>
    <w:p w14:paraId="53300124" w14:textId="06EA1E75" w:rsidR="005A647F" w:rsidRPr="0070273D" w:rsidRDefault="00E900C6" w:rsidP="00EC106E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70273D">
        <w:rPr>
          <w:rFonts w:asciiTheme="minorHAnsi" w:hAnsiTheme="minorHAnsi" w:cstheme="minorHAnsi"/>
          <w:bCs/>
          <w:sz w:val="20"/>
          <w:szCs w:val="20"/>
        </w:rPr>
        <w:t xml:space="preserve">Praha, </w:t>
      </w:r>
      <w:r w:rsidR="00EC106E" w:rsidRPr="0070273D">
        <w:rPr>
          <w:rFonts w:asciiTheme="minorHAnsi" w:hAnsiTheme="minorHAnsi" w:cstheme="minorHAnsi"/>
          <w:bCs/>
          <w:sz w:val="20"/>
          <w:szCs w:val="20"/>
        </w:rPr>
        <w:t>5</w:t>
      </w:r>
      <w:r w:rsidRPr="0070273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5A647F" w:rsidRPr="0070273D">
        <w:rPr>
          <w:rFonts w:asciiTheme="minorHAnsi" w:hAnsiTheme="minorHAnsi" w:cstheme="minorHAnsi"/>
          <w:bCs/>
          <w:sz w:val="20"/>
          <w:szCs w:val="20"/>
        </w:rPr>
        <w:t>února</w:t>
      </w:r>
      <w:r w:rsidR="00625DC4" w:rsidRPr="0070273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0273D">
        <w:rPr>
          <w:rFonts w:asciiTheme="minorHAnsi" w:hAnsiTheme="minorHAnsi" w:cstheme="minorHAnsi"/>
          <w:bCs/>
          <w:sz w:val="20"/>
          <w:szCs w:val="20"/>
        </w:rPr>
        <w:t>20</w:t>
      </w:r>
      <w:r w:rsidR="00625DC4" w:rsidRPr="0070273D">
        <w:rPr>
          <w:rFonts w:asciiTheme="minorHAnsi" w:hAnsiTheme="minorHAnsi" w:cstheme="minorHAnsi"/>
          <w:bCs/>
          <w:sz w:val="20"/>
          <w:szCs w:val="20"/>
        </w:rPr>
        <w:t>20</w:t>
      </w:r>
      <w:r w:rsidR="00507541" w:rsidRPr="0070273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647F" w:rsidRPr="0070273D">
        <w:rPr>
          <w:rFonts w:asciiTheme="minorHAnsi" w:hAnsiTheme="minorHAnsi" w:cstheme="minorHAnsi"/>
          <w:bCs/>
          <w:sz w:val="20"/>
          <w:szCs w:val="20"/>
        </w:rPr>
        <w:t>–</w:t>
      </w:r>
      <w:r w:rsidR="00507541" w:rsidRPr="0070273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748E0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Desátý ročník analýzy </w:t>
      </w:r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českého investičního trhu </w:t>
      </w:r>
      <w:proofErr w:type="spellStart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>Fincentrum</w:t>
      </w:r>
      <w:proofErr w:type="spellEnd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&amp; </w:t>
      </w:r>
      <w:proofErr w:type="spellStart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>Swiss</w:t>
      </w:r>
      <w:proofErr w:type="spellEnd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>Life</w:t>
      </w:r>
      <w:proofErr w:type="spellEnd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>Select</w:t>
      </w:r>
      <w:proofErr w:type="spellEnd"/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Investice roku 2019</w:t>
      </w:r>
      <w:r w:rsidR="003748E0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zná své vítěze</w:t>
      </w:r>
      <w:r w:rsidR="005A647F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Na základě 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>ukazatelů výkonnosti a rizik se na prvních místech v hlavních kategoriích umístili</w:t>
      </w:r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Conseq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Invest Konzervativní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v kategorii konzervativní fondy</w:t>
      </w:r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, Amundi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Funds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Euro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Corporate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Bond</w:t>
      </w:r>
      <w:r w:rsidR="0017742D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mezi konzervativními dluhopisovými fondy</w:t>
      </w:r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, progresivním dluhopisovým fondem roku je Franklin GCC Bond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Fund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, smíšeným fondem roku J&amp;T Money CZK a v kategorii akciových fondů roku vyhrál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Schroder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ISF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Global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Sustainable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Growth</w:t>
      </w:r>
      <w:proofErr w:type="spellEnd"/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USD. 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Odborná porota 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>zvolila</w:t>
      </w:r>
      <w:r w:rsidR="0017742D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také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</w:rPr>
        <w:t>Investiční osobnost roku</w:t>
      </w:r>
      <w:r w:rsidR="000045BC" w:rsidRPr="0070273D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jíž se stal 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portfolio manažer 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</w:rPr>
        <w:t>Jan Háje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>k z </w:t>
      </w:r>
      <w:proofErr w:type="spellStart"/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>Erste</w:t>
      </w:r>
      <w:proofErr w:type="spellEnd"/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>Asset</w:t>
      </w:r>
      <w:proofErr w:type="spellEnd"/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Management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Jako Investiční nápad roku porota </w:t>
      </w:r>
      <w:r w:rsidR="0017742D" w:rsidRPr="0070273D">
        <w:rPr>
          <w:rFonts w:asciiTheme="minorHAnsi" w:hAnsiTheme="minorHAnsi" w:cstheme="minorHAnsi"/>
          <w:b/>
          <w:bCs/>
          <w:color w:val="000000" w:themeColor="text1"/>
        </w:rPr>
        <w:t>ocenil</w:t>
      </w:r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a fenomén </w:t>
      </w:r>
      <w:proofErr w:type="spellStart"/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>podcastů</w:t>
      </w:r>
      <w:proofErr w:type="spellEnd"/>
      <w:r w:rsidR="009E3217" w:rsidRPr="0070273D">
        <w:rPr>
          <w:rFonts w:asciiTheme="minorHAnsi" w:hAnsiTheme="minorHAnsi" w:cstheme="minorHAnsi"/>
          <w:b/>
          <w:bCs/>
          <w:color w:val="000000" w:themeColor="text1"/>
        </w:rPr>
        <w:t xml:space="preserve"> s investiční tematikou. </w:t>
      </w:r>
    </w:p>
    <w:p w14:paraId="2F07AB62" w14:textId="0D4335EE" w:rsidR="005174A0" w:rsidRPr="0070273D" w:rsidRDefault="005174A0" w:rsidP="00EC106E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B64B098" w14:textId="77777777" w:rsidR="005A647F" w:rsidRPr="0070273D" w:rsidRDefault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Fincentrum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Select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Investice roku 2019 je vyhodnocením českého investičního trhu za uplynulý rok se zaměřením na investiční fondy. Projekt společnosti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Fincentrum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Select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má za cíl pravidelně přispívat ke zvyšování povědomí českých investorů o možnostech investování.</w:t>
      </w:r>
    </w:p>
    <w:p w14:paraId="337E955E" w14:textId="1A350740" w:rsidR="0017742D" w:rsidRPr="0070273D" w:rsidRDefault="001774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7F428360" w14:textId="7582C44A" w:rsidR="0017742D" w:rsidRPr="0070273D" w:rsidRDefault="001774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bookmarkStart w:id="0" w:name="_GoBack"/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„Cílem každoroční analýzy domácího investičního trhu je zhodnotit investiční fondy objektivní a </w:t>
      </w:r>
      <w:proofErr w:type="gramStart"/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zároveň </w:t>
      </w:r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- </w:t>
      </w: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pro</w:t>
      </w:r>
      <w:proofErr w:type="gramEnd"/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běžného českého investora </w:t>
      </w:r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- </w:t>
      </w: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srozumitelnou cestou. Metodika umožňuje porovnat jednotlivé fondy mezi sebou a ukazuje investorům možnosti zhodnocení finančních prostředků</w:t>
      </w:r>
      <w:r w:rsidR="00EC106E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,</w:t>
      </w: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“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řekl</w:t>
      </w:r>
      <w:r w:rsidR="00C97C66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Filip Duchoň, generální ředitel a předseda představenstva </w:t>
      </w:r>
      <w:proofErr w:type="spellStart"/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Fincentrum</w:t>
      </w:r>
      <w:proofErr w:type="spellEnd"/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 &amp; </w:t>
      </w:r>
      <w:proofErr w:type="spellStart"/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Swiss</w:t>
      </w:r>
      <w:proofErr w:type="spellEnd"/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>Life</w:t>
      </w:r>
      <w:proofErr w:type="spellEnd"/>
      <w:r w:rsidR="0070273D" w:rsidRPr="0070273D"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 a.s.</w:t>
      </w:r>
    </w:p>
    <w:bookmarkEnd w:id="0"/>
    <w:p w14:paraId="067A7CA5" w14:textId="77777777" w:rsidR="00EC106E" w:rsidRPr="0070273D" w:rsidRDefault="00EC106E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1427B0D5" w14:textId="2038CF22" w:rsidR="00C97C66" w:rsidRPr="0070273D" w:rsidRDefault="00C97C6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„Z pohledu výnosů byl loňský rok extrémně úspěšný, dařilo se jak akciovým, tak dluhopisovým fondům. I přes obavy z přibližující se recese trhy rostly a investoři mohli být spokojení. Naším úkolem </w:t>
      </w:r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v</w:t>
      </w:r>
      <w:r w:rsidR="0070273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e</w:t>
      </w:r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Fincentrum</w:t>
      </w:r>
      <w:proofErr w:type="spellEnd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Swiss</w:t>
      </w:r>
      <w:proofErr w:type="spellEnd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Life</w:t>
      </w:r>
      <w:proofErr w:type="spellEnd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Select</w:t>
      </w:r>
      <w:proofErr w:type="spellEnd"/>
      <w:r w:rsidR="00F7452D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Investice roku 2019</w:t>
      </w: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bylo najít takové fondy, které se pouze nevezly na růstové vlně, ale dokázaly dosahovat co nejvyššího zisku s co nejnižším </w:t>
      </w:r>
      <w:proofErr w:type="gramStart"/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rizikem</w:t>
      </w:r>
      <w:proofErr w:type="gramEnd"/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 xml:space="preserve"> a to pokud možno dlouhodobě</w:t>
      </w:r>
      <w:r w:rsidR="00EC106E"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,</w:t>
      </w: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“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řekl Jan Macek, produktový manažer </w:t>
      </w:r>
      <w:proofErr w:type="spellStart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Fincentrum</w:t>
      </w:r>
      <w:proofErr w:type="spellEnd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70273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Select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</w:t>
      </w:r>
    </w:p>
    <w:p w14:paraId="10D7964E" w14:textId="77777777" w:rsidR="005A647F" w:rsidRPr="0070273D" w:rsidRDefault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29E0FC20" w14:textId="44F555F5" w:rsidR="003748E0" w:rsidRPr="0070273D" w:rsidRDefault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Hodnocení fondů, které jsou investorům na českém trhu nabízeny, je založené na objektivních kritériích. Srovnání bere do úvahy výkonnost, podstupované riziko a dosahování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nadvýnosu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pro investora, to vše s ohledem na stabilitu dosahovaných výsledků.</w:t>
      </w:r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Celkem bylo v rámci </w:t>
      </w:r>
      <w:proofErr w:type="spellStart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Fincentrum</w:t>
      </w:r>
      <w:proofErr w:type="spellEnd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Select</w:t>
      </w:r>
      <w:proofErr w:type="spellEnd"/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Investice roku 2019 hodnoceno 2</w:t>
      </w:r>
      <w:r w:rsidR="00F7452D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</w:t>
      </w:r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167 fondů.</w:t>
      </w:r>
    </w:p>
    <w:p w14:paraId="11710399" w14:textId="77777777" w:rsidR="00672E94" w:rsidRPr="0070273D" w:rsidRDefault="00672E94" w:rsidP="00F745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cs-CZ"/>
        </w:rPr>
      </w:pPr>
    </w:p>
    <w:p w14:paraId="3131E157" w14:textId="0E3E91EE" w:rsidR="005A647F" w:rsidRPr="0070273D" w:rsidRDefault="00672E94" w:rsidP="00672E94">
      <w:pPr>
        <w:pStyle w:val="Normln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cs-CZ"/>
        </w:rPr>
        <w:t>VÝSLEDKY FINCENTRUM &amp; SWISS LIFE SELECT INVESTICE ROKU 2019</w:t>
      </w:r>
    </w:p>
    <w:p w14:paraId="619E9DF8" w14:textId="77777777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51AD7557" w14:textId="08CD4FA6" w:rsidR="0017742D" w:rsidRPr="0070273D" w:rsidRDefault="005A647F" w:rsidP="00672E94">
      <w:pPr>
        <w:pStyle w:val="Normln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Hlavní kategorie</w:t>
      </w:r>
    </w:p>
    <w:p w14:paraId="79591D2B" w14:textId="77777777" w:rsidR="00D42E22" w:rsidRDefault="00D42E22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</w:p>
    <w:p w14:paraId="2EA4CBCF" w14:textId="1C656825" w:rsidR="005A647F" w:rsidRPr="00D42E22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Konzervativní fond: </w:t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Conseq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Invest Konzervativní</w:t>
      </w:r>
    </w:p>
    <w:p w14:paraId="1D6A1FE9" w14:textId="77777777" w:rsidR="00672E94" w:rsidRPr="0070273D" w:rsidRDefault="00672E94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</w:p>
    <w:p w14:paraId="7F34B677" w14:textId="13A2D6C7" w:rsidR="005A647F" w:rsidRPr="00D42E22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Konzervativní dluhopisový fond: </w:t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Amundi </w:t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Funds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Euro </w:t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Corporate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Bond</w:t>
      </w:r>
    </w:p>
    <w:p w14:paraId="5CF96F63" w14:textId="77777777" w:rsidR="00672E94" w:rsidRPr="0070273D" w:rsidRDefault="00672E94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13E6EC25" w14:textId="5D16257D" w:rsidR="005A647F" w:rsidRPr="00D42E22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Progresivní dluhopisový fond: </w:t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Franklin GCC Bond </w:t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Fund</w:t>
      </w:r>
      <w:proofErr w:type="spellEnd"/>
    </w:p>
    <w:p w14:paraId="21D298F2" w14:textId="77777777" w:rsidR="00672E94" w:rsidRPr="0070273D" w:rsidRDefault="00672E94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785F866F" w14:textId="4CE6DC6A" w:rsidR="005A647F" w:rsidRPr="00D42E22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Smíšený fond:</w:t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J&amp;T Money CZK</w:t>
      </w:r>
    </w:p>
    <w:p w14:paraId="27760D00" w14:textId="77777777" w:rsidR="00672E94" w:rsidRPr="0070273D" w:rsidRDefault="00672E94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348F3024" w14:textId="09C9C3B3" w:rsidR="005A647F" w:rsidRPr="00D42E22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Akciový fond</w:t>
      </w:r>
      <w:r w:rsidR="00672E94"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:</w:t>
      </w: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</w:t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r w:rsid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ab/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Schroder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ISF </w:t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Global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Sustainable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Growth</w:t>
      </w:r>
      <w:proofErr w:type="spellEnd"/>
      <w:r w:rsidRPr="00D42E2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 xml:space="preserve"> USD</w:t>
      </w:r>
    </w:p>
    <w:p w14:paraId="6C22DA76" w14:textId="453C0599" w:rsidR="00672E94" w:rsidRDefault="00672E94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2AAF9726" w14:textId="77777777" w:rsidR="00D42E22" w:rsidRPr="0070273D" w:rsidRDefault="00D42E22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671115C2" w14:textId="4D9AC939" w:rsidR="005A647F" w:rsidRPr="0070273D" w:rsidRDefault="0017742D" w:rsidP="00D42E22">
      <w:pPr>
        <w:pStyle w:val="Normlnweb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cs-CZ"/>
        </w:rPr>
        <w:t>Vedlejší kategorie</w:t>
      </w:r>
    </w:p>
    <w:p w14:paraId="6A1F10DE" w14:textId="5BB4D72D" w:rsidR="005A647F" w:rsidRPr="0070273D" w:rsidRDefault="00672E94" w:rsidP="00F745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</w:t>
      </w:r>
      <w:r w:rsidR="005A647F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ominace 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do vedlejších kategorií stanovila </w:t>
      </w:r>
      <w:r w:rsidR="005A647F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Odborná porota, která zvolila vítěze v dané kategorii.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</w:p>
    <w:p w14:paraId="44D70DE2" w14:textId="487A9BE0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093C6CE6" w14:textId="77777777" w:rsidR="005A647F" w:rsidRPr="0070273D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Investiční nápad roku</w:t>
      </w:r>
    </w:p>
    <w:p w14:paraId="6B9FD100" w14:textId="5E1CE445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Porota za Investiční nápad roku zvolila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podcasty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s investiční tématikou. Zaujaly ji</w:t>
      </w:r>
      <w:r w:rsidR="00C97C66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mimo jiné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tyto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podcasty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:</w:t>
      </w:r>
    </w:p>
    <w:p w14:paraId="6D21CD6E" w14:textId="77777777" w:rsidR="005A647F" w:rsidRPr="0070273D" w:rsidRDefault="005A647F" w:rsidP="00672E94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Myšlení finančníků (Michal Doubek)</w:t>
      </w:r>
    </w:p>
    <w:p w14:paraId="44D2EC79" w14:textId="77777777" w:rsidR="005A647F" w:rsidRPr="0070273D" w:rsidRDefault="005A647F" w:rsidP="00672E94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Amundi Investiční myšlenky (Petr Šimčák)</w:t>
      </w:r>
    </w:p>
    <w:p w14:paraId="6AC6AD01" w14:textId="77777777" w:rsidR="005A647F" w:rsidRPr="0070273D" w:rsidRDefault="005A647F" w:rsidP="00672E94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Alter Eko (Roman Chlupatý)</w:t>
      </w:r>
    </w:p>
    <w:p w14:paraId="62E7F167" w14:textId="77777777" w:rsidR="005A647F" w:rsidRPr="0070273D" w:rsidRDefault="005A647F" w:rsidP="00672E94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Forbes Česko</w:t>
      </w:r>
    </w:p>
    <w:p w14:paraId="7724E7F0" w14:textId="77777777" w:rsidR="005A647F" w:rsidRPr="0070273D" w:rsidRDefault="005A647F" w:rsidP="00672E94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Teorie peněz (Matúš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Kuchálik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)</w:t>
      </w:r>
    </w:p>
    <w:p w14:paraId="5DE2D520" w14:textId="77777777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62171F0A" w14:textId="77777777" w:rsidR="005A647F" w:rsidRPr="0070273D" w:rsidRDefault="005A647F" w:rsidP="00F7452D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Investiční osobnost roku</w:t>
      </w:r>
    </w:p>
    <w:p w14:paraId="49AF2772" w14:textId="64599C1B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Investiční osobností roku byl porotou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Fincentrum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Select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Investice roku 2019 zvolen </w:t>
      </w: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Ján Hájek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z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Erste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Asset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Management. Porota ocenila jeho dlouhodobě otevřenou komunikaci vůči investorům a popularizaci portfolio managementu na českém trhu.</w:t>
      </w:r>
      <w:r w:rsidR="003748E0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r w:rsidRPr="0070273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cs-CZ"/>
        </w:rPr>
        <w:t>Ján Hájek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je portfolio manažer fondu TOP STOCS, </w:t>
      </w:r>
      <w:r w:rsidR="00C97C66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který řídí již 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čtrnáct let a </w:t>
      </w:r>
      <w:r w:rsidR="00C97C66"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ve kterém se stará o majetek v objemu 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16,7 mld. Kč.</w:t>
      </w:r>
    </w:p>
    <w:p w14:paraId="76BD2629" w14:textId="47213B1B" w:rsidR="005A647F" w:rsidRPr="0070273D" w:rsidRDefault="005A647F" w:rsidP="005A647F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00F464C4" w14:textId="77777777" w:rsidR="005A647F" w:rsidRPr="0070273D" w:rsidRDefault="005A647F" w:rsidP="00B018B6">
      <w:pPr>
        <w:spacing w:after="0"/>
        <w:rPr>
          <w:rFonts w:asciiTheme="minorHAnsi" w:hAnsiTheme="minorHAnsi" w:cstheme="minorHAnsi"/>
          <w:bCs/>
        </w:rPr>
      </w:pPr>
    </w:p>
    <w:p w14:paraId="22348226" w14:textId="306682D0" w:rsidR="00696137" w:rsidRPr="0070273D" w:rsidRDefault="00696137" w:rsidP="0069613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cs-CZ"/>
        </w:rPr>
      </w:pPr>
      <w:r w:rsidRPr="0070273D">
        <w:rPr>
          <w:rFonts w:asciiTheme="minorHAnsi" w:hAnsiTheme="minorHAnsi" w:cstheme="minorHAnsi"/>
          <w:b/>
          <w:lang w:val="cs-CZ"/>
        </w:rPr>
        <w:t xml:space="preserve">METODIKA, KATEGORIE A ODBORNÁ POROTA FINCENTRUM &amp; SWISS LIFE SELECT INVESTICE ROKU 2019 </w:t>
      </w:r>
    </w:p>
    <w:p w14:paraId="6E47C8EA" w14:textId="5371A56C" w:rsidR="0017742D" w:rsidRPr="0070273D" w:rsidRDefault="0017742D" w:rsidP="00B018B6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F0E05FA" w14:textId="0B49E3F8" w:rsidR="0017742D" w:rsidRPr="0070273D" w:rsidRDefault="0017742D" w:rsidP="00F745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Základem hodnocení fondů v rámci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Fincentrum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&amp;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Swiss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Life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Select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</w:t>
      </w:r>
      <w:r w:rsidR="001A3D47"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Investice roku 2019 </w:t>
      </w: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jsou celkové výnosy v českých korunách a čistý výnos se zohledněním vstupních a výstupních poplatků. Odečtením hodnoty bezrizikové míry získáme tzv.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nadvýnos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, který ukazuje přidanou hodnotu fondu vůči bezrizikové investici na finančním trhu. Každému fondu je následně vypočítávána celková roční volatilita, která vstupuje společně s 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nadvýnosem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do výpočtu takzvaného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Sharpeho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poměru (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Sharpe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Ratio). Výsledkem je míra čistého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nadvýnosu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v přepočtu na jednotku celkového rizika, která umožňuje srovnat fondy napříč kategoriemi a stanovit konečné pořadí.</w:t>
      </w:r>
    </w:p>
    <w:p w14:paraId="666E36B3" w14:textId="77777777" w:rsidR="0017742D" w:rsidRPr="0070273D" w:rsidRDefault="0017742D" w:rsidP="00F745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p w14:paraId="2F9FCB18" w14:textId="3AF3F4EE" w:rsidR="0017742D" w:rsidRPr="0070273D" w:rsidRDefault="0017742D" w:rsidP="001774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Výsledky v hlavních kategoriích byly stanoveny na základě výpočtů, přičemž pro jednotlivé kategorie jsou použity tyto vážené průměry ukazatelů v tomto poměru:</w:t>
      </w:r>
    </w:p>
    <w:p w14:paraId="3C081472" w14:textId="550F1073" w:rsidR="00696137" w:rsidRPr="0070273D" w:rsidRDefault="00696137" w:rsidP="001774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p w14:paraId="3DF6E385" w14:textId="77777777" w:rsidR="00696137" w:rsidRPr="0070273D" w:rsidRDefault="00696137" w:rsidP="001774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p w14:paraId="698C6D4E" w14:textId="0C071496" w:rsidR="00696137" w:rsidRPr="0070273D" w:rsidRDefault="00696137" w:rsidP="001774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tbl>
      <w:tblPr>
        <w:tblW w:w="8080" w:type="dxa"/>
        <w:tblInd w:w="1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559"/>
        <w:gridCol w:w="1843"/>
      </w:tblGrid>
      <w:tr w:rsidR="00696137" w:rsidRPr="0070273D" w14:paraId="0AAFC48B" w14:textId="77777777" w:rsidTr="0069613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0000"/>
            <w:vAlign w:val="center"/>
            <w:hideMark/>
          </w:tcPr>
          <w:p w14:paraId="6E14B310" w14:textId="77777777" w:rsidR="00696137" w:rsidRPr="0070273D" w:rsidRDefault="00696137" w:rsidP="00646D87">
            <w:r w:rsidRPr="0070273D">
              <w:t> Kategorie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0000"/>
            <w:vAlign w:val="center"/>
            <w:hideMark/>
          </w:tcPr>
          <w:p w14:paraId="2B266C44" w14:textId="77777777" w:rsidR="00696137" w:rsidRPr="0070273D" w:rsidRDefault="00696137" w:rsidP="00696137">
            <w:pPr>
              <w:jc w:val="center"/>
            </w:pPr>
            <w:r w:rsidRPr="0070273D">
              <w:t>Absolutní výnos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0000"/>
            <w:vAlign w:val="center"/>
            <w:hideMark/>
          </w:tcPr>
          <w:p w14:paraId="7C14457D" w14:textId="77777777" w:rsidR="00696137" w:rsidRPr="0070273D" w:rsidRDefault="00696137" w:rsidP="00696137">
            <w:pPr>
              <w:jc w:val="center"/>
            </w:pPr>
            <w:proofErr w:type="spellStart"/>
            <w:r w:rsidRPr="0070273D">
              <w:t>Sortino</w:t>
            </w:r>
            <w:proofErr w:type="spellEnd"/>
            <w:r w:rsidRPr="0070273D">
              <w:t xml:space="preserve"> ratio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0000"/>
            <w:vAlign w:val="center"/>
            <w:hideMark/>
          </w:tcPr>
          <w:p w14:paraId="30BAD5FB" w14:textId="77777777" w:rsidR="00696137" w:rsidRPr="0070273D" w:rsidRDefault="00696137" w:rsidP="00696137">
            <w:pPr>
              <w:jc w:val="center"/>
            </w:pPr>
            <w:proofErr w:type="spellStart"/>
            <w:r w:rsidRPr="0070273D">
              <w:t>Information</w:t>
            </w:r>
            <w:proofErr w:type="spellEnd"/>
            <w:r w:rsidRPr="0070273D">
              <w:t xml:space="preserve"> ratio</w:t>
            </w:r>
          </w:p>
        </w:tc>
      </w:tr>
      <w:tr w:rsidR="00696137" w:rsidRPr="0070273D" w14:paraId="370366E3" w14:textId="77777777" w:rsidTr="0069613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D17B" w14:textId="77777777" w:rsidR="00696137" w:rsidRPr="0070273D" w:rsidRDefault="00696137" w:rsidP="00646D87">
            <w:r w:rsidRPr="0070273D">
              <w:t> Akciové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0C03" w14:textId="2D7213C7" w:rsidR="00696137" w:rsidRPr="0070273D" w:rsidRDefault="00696137" w:rsidP="00696137">
            <w:pPr>
              <w:jc w:val="center"/>
            </w:pPr>
            <w:r w:rsidRPr="0070273D">
              <w:t>20 %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AEFF" w14:textId="0C6D7816" w:rsidR="00696137" w:rsidRPr="0070273D" w:rsidRDefault="00696137" w:rsidP="00696137">
            <w:pPr>
              <w:jc w:val="center"/>
            </w:pPr>
            <w:r w:rsidRPr="0070273D">
              <w:t>60 %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59A8" w14:textId="5EA49FB5" w:rsidR="00696137" w:rsidRPr="0070273D" w:rsidRDefault="00696137" w:rsidP="00696137">
            <w:pPr>
              <w:jc w:val="center"/>
            </w:pPr>
            <w:r w:rsidRPr="0070273D">
              <w:t>20 %</w:t>
            </w:r>
          </w:p>
        </w:tc>
      </w:tr>
      <w:tr w:rsidR="00696137" w:rsidRPr="0070273D" w14:paraId="737BE070" w14:textId="77777777" w:rsidTr="0069613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D8D3" w14:textId="77777777" w:rsidR="00696137" w:rsidRPr="0070273D" w:rsidRDefault="00696137" w:rsidP="00646D87">
            <w:r w:rsidRPr="0070273D">
              <w:t> Konzervativní dluhopisové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0DFA2" w14:textId="6C8FDA0A" w:rsidR="00696137" w:rsidRPr="0070273D" w:rsidRDefault="00696137" w:rsidP="00696137">
            <w:pPr>
              <w:jc w:val="center"/>
            </w:pPr>
            <w:r w:rsidRPr="0070273D">
              <w:t>20 %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208A" w14:textId="65AC9210" w:rsidR="00696137" w:rsidRPr="0070273D" w:rsidRDefault="00696137" w:rsidP="00696137">
            <w:pPr>
              <w:jc w:val="center"/>
            </w:pPr>
            <w:r w:rsidRPr="0070273D">
              <w:t>80 %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5468" w14:textId="286C6753" w:rsidR="00696137" w:rsidRPr="0070273D" w:rsidRDefault="00696137" w:rsidP="00696137">
            <w:pPr>
              <w:jc w:val="center"/>
            </w:pPr>
            <w:r w:rsidRPr="0070273D">
              <w:t>0 %</w:t>
            </w:r>
          </w:p>
        </w:tc>
      </w:tr>
      <w:tr w:rsidR="00696137" w:rsidRPr="0070273D" w14:paraId="51B36573" w14:textId="77777777" w:rsidTr="0069613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0D8A" w14:textId="77777777" w:rsidR="00696137" w:rsidRPr="0070273D" w:rsidRDefault="00696137" w:rsidP="00646D87">
            <w:r w:rsidRPr="0070273D">
              <w:t> Progresivní dluhopisové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53DB" w14:textId="61C4AA20" w:rsidR="00696137" w:rsidRPr="0070273D" w:rsidRDefault="00696137" w:rsidP="00696137">
            <w:pPr>
              <w:jc w:val="center"/>
            </w:pPr>
            <w:r w:rsidRPr="0070273D">
              <w:t>20 %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C19D" w14:textId="50BF78B2" w:rsidR="00696137" w:rsidRPr="0070273D" w:rsidRDefault="00696137" w:rsidP="00696137">
            <w:pPr>
              <w:jc w:val="center"/>
            </w:pPr>
            <w:r w:rsidRPr="0070273D">
              <w:t>60 %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81B2" w14:textId="5C863428" w:rsidR="00696137" w:rsidRPr="0070273D" w:rsidRDefault="00696137" w:rsidP="00696137">
            <w:pPr>
              <w:jc w:val="center"/>
            </w:pPr>
            <w:r w:rsidRPr="0070273D">
              <w:t>20 %</w:t>
            </w:r>
          </w:p>
        </w:tc>
      </w:tr>
      <w:tr w:rsidR="00696137" w:rsidRPr="0070273D" w14:paraId="7A929B12" w14:textId="77777777" w:rsidTr="0069613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DA2C" w14:textId="77777777" w:rsidR="00696137" w:rsidRPr="0070273D" w:rsidRDefault="00696137" w:rsidP="00646D87">
            <w:r w:rsidRPr="0070273D">
              <w:t> Smíšené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AB51" w14:textId="238BC729" w:rsidR="00696137" w:rsidRPr="0070273D" w:rsidRDefault="00696137" w:rsidP="00696137">
            <w:pPr>
              <w:jc w:val="center"/>
            </w:pPr>
            <w:r w:rsidRPr="0070273D">
              <w:t>0 %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E1A63" w14:textId="44644790" w:rsidR="00696137" w:rsidRPr="0070273D" w:rsidRDefault="00696137" w:rsidP="00696137">
            <w:pPr>
              <w:jc w:val="center"/>
            </w:pPr>
            <w:r w:rsidRPr="0070273D">
              <w:t>100 %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519B" w14:textId="561A26B8" w:rsidR="00696137" w:rsidRPr="0070273D" w:rsidRDefault="00696137" w:rsidP="00696137">
            <w:pPr>
              <w:jc w:val="center"/>
            </w:pPr>
            <w:r w:rsidRPr="0070273D">
              <w:t>0 %</w:t>
            </w:r>
          </w:p>
        </w:tc>
      </w:tr>
      <w:tr w:rsidR="00696137" w:rsidRPr="0070273D" w14:paraId="3FCD0263" w14:textId="77777777" w:rsidTr="0069613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F3CE" w14:textId="77777777" w:rsidR="00696137" w:rsidRPr="0070273D" w:rsidRDefault="00696137" w:rsidP="00646D87">
            <w:r w:rsidRPr="0070273D">
              <w:t> Konzervativní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FFD3" w14:textId="444C3EA7" w:rsidR="00696137" w:rsidRPr="0070273D" w:rsidRDefault="00696137" w:rsidP="00696137">
            <w:pPr>
              <w:jc w:val="center"/>
            </w:pPr>
            <w:r w:rsidRPr="0070273D">
              <w:t>35 %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2143" w14:textId="3C0C7664" w:rsidR="00696137" w:rsidRPr="0070273D" w:rsidRDefault="00696137" w:rsidP="00696137">
            <w:pPr>
              <w:jc w:val="center"/>
            </w:pPr>
            <w:r w:rsidRPr="0070273D">
              <w:t>65 %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D87D" w14:textId="4526BF7B" w:rsidR="00696137" w:rsidRPr="0070273D" w:rsidRDefault="00696137" w:rsidP="00696137">
            <w:pPr>
              <w:jc w:val="center"/>
            </w:pPr>
            <w:r w:rsidRPr="0070273D">
              <w:t>0 %</w:t>
            </w:r>
          </w:p>
        </w:tc>
      </w:tr>
    </w:tbl>
    <w:p w14:paraId="06AD82D5" w14:textId="4980CBAB" w:rsidR="00696137" w:rsidRPr="0070273D" w:rsidRDefault="00696137" w:rsidP="001774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p w14:paraId="5F2563AA" w14:textId="2D356624" w:rsidR="0017742D" w:rsidRPr="0070273D" w:rsidRDefault="0017742D" w:rsidP="00F7452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Detailní popis metodiky naleznete ZDE: </w:t>
      </w:r>
      <w:hyperlink r:id="rId8" w:history="1">
        <w:r w:rsidRPr="0070273D">
          <w:rPr>
            <w:rStyle w:val="s1"/>
            <w:rFonts w:asciiTheme="minorHAnsi" w:hAnsiTheme="minorHAnsi"/>
            <w:sz w:val="22"/>
            <w:szCs w:val="22"/>
            <w:lang w:val="cs-CZ"/>
          </w:rPr>
          <w:t>http://www.investiceroku.cz/metodika/</w:t>
        </w:r>
      </w:hyperlink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</w:t>
      </w:r>
    </w:p>
    <w:p w14:paraId="4315E463" w14:textId="77777777" w:rsidR="0017742D" w:rsidRPr="0070273D" w:rsidRDefault="0017742D" w:rsidP="00696137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p w14:paraId="4F9BFA1D" w14:textId="38142586" w:rsidR="0017742D" w:rsidRPr="0070273D" w:rsidRDefault="0017742D" w:rsidP="00696137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Do letošního ročníku vyhodnocení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Fincentrum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&amp;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Swiss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Life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Select</w:t>
      </w:r>
      <w:proofErr w:type="spellEnd"/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 xml:space="preserve"> Investice roku 2019 byly nominovány fondy splňující tato kritéria:</w:t>
      </w:r>
    </w:p>
    <w:p w14:paraId="2DD7002E" w14:textId="77777777" w:rsidR="0017742D" w:rsidRPr="0070273D" w:rsidRDefault="0017742D" w:rsidP="006961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fond je registrován k distribuci na českém trhu</w:t>
      </w:r>
    </w:p>
    <w:p w14:paraId="2C2EAFCA" w14:textId="77777777" w:rsidR="0017742D" w:rsidRPr="0070273D" w:rsidRDefault="0017742D" w:rsidP="006961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fond je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je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určen pro retailovou klientelu</w:t>
      </w:r>
    </w:p>
    <w:p w14:paraId="161AB260" w14:textId="77777777" w:rsidR="0017742D" w:rsidRPr="0070273D" w:rsidRDefault="0017742D" w:rsidP="006961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fond disponuje minimálně tříletou historií NAV k 31. 12. 2019. U fondů, kde došlo ke sloučení dvou a více fondů nebo zásadní změně investiční politiky fondu, je počátkem historie bráno datum této události</w:t>
      </w:r>
    </w:p>
    <w:p w14:paraId="1939C61F" w14:textId="2CFBEF3F" w:rsidR="0017742D" w:rsidRPr="0070273D" w:rsidRDefault="0017742D" w:rsidP="006961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fond je oceňován na denní </w:t>
      </w:r>
      <w:r w:rsidR="0084087C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nebo týdenní </w:t>
      </w: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bázi</w:t>
      </w:r>
    </w:p>
    <w:p w14:paraId="58726468" w14:textId="77777777" w:rsidR="0017742D" w:rsidRPr="0070273D" w:rsidRDefault="0017742D" w:rsidP="00696137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</w:p>
    <w:p w14:paraId="3782DF1F" w14:textId="5755BE8B" w:rsidR="0017742D" w:rsidRPr="0070273D" w:rsidRDefault="0017742D" w:rsidP="00696137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V rámci byly v letošním ročníku porota vyhodnotila následující kategorie:</w:t>
      </w:r>
    </w:p>
    <w:p w14:paraId="706138B6" w14:textId="77777777" w:rsidR="0017742D" w:rsidRPr="0070273D" w:rsidRDefault="0017742D" w:rsidP="001774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1B7F5597" w14:textId="77777777" w:rsidR="0017742D" w:rsidRPr="0070273D" w:rsidRDefault="0017742D" w:rsidP="00696137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Hlavní kategorie</w:t>
      </w:r>
    </w:p>
    <w:p w14:paraId="7F03401E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Konzervativní fond</w:t>
      </w:r>
    </w:p>
    <w:p w14:paraId="3ABFBCEE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Konzervativní dluhopisový fond </w:t>
      </w:r>
    </w:p>
    <w:p w14:paraId="68BFBE04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Progresivní dluhopisový fond</w:t>
      </w:r>
    </w:p>
    <w:p w14:paraId="1EE98B34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Smíšený fond</w:t>
      </w:r>
    </w:p>
    <w:p w14:paraId="008E0503" w14:textId="05BE964B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Akciový fond</w:t>
      </w:r>
    </w:p>
    <w:p w14:paraId="77BEBE32" w14:textId="77777777" w:rsidR="001A3D47" w:rsidRPr="0070273D" w:rsidRDefault="001A3D47" w:rsidP="00F745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636303A1" w14:textId="77777777" w:rsidR="0017742D" w:rsidRPr="0070273D" w:rsidRDefault="0017742D" w:rsidP="00696137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Vedlejší kategorie</w:t>
      </w:r>
    </w:p>
    <w:p w14:paraId="688F1286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Investiční nápad roku</w:t>
      </w:r>
    </w:p>
    <w:p w14:paraId="53C69E95" w14:textId="0B523341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Investiční osobnost roku</w:t>
      </w:r>
    </w:p>
    <w:p w14:paraId="6B850A72" w14:textId="6448A1C5" w:rsidR="0017742D" w:rsidRPr="0070273D" w:rsidRDefault="0017742D" w:rsidP="0017742D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0DBA1C08" w14:textId="77777777" w:rsidR="0017742D" w:rsidRPr="0070273D" w:rsidRDefault="0017742D" w:rsidP="00696137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/>
          <w:sz w:val="22"/>
          <w:szCs w:val="22"/>
          <w:lang w:val="cs-CZ"/>
        </w:rPr>
      </w:pPr>
      <w:r w:rsidRPr="0070273D">
        <w:rPr>
          <w:rStyle w:val="s1"/>
          <w:rFonts w:asciiTheme="minorHAnsi" w:hAnsiTheme="minorHAnsi"/>
          <w:sz w:val="22"/>
          <w:szCs w:val="22"/>
          <w:lang w:val="cs-CZ"/>
        </w:rPr>
        <w:t>Odborná porota zasedala v tomto složení:</w:t>
      </w:r>
    </w:p>
    <w:p w14:paraId="37D20A97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Jan Vedral (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Conseq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Investment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Management)</w:t>
      </w:r>
    </w:p>
    <w:p w14:paraId="0FED18BA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Jan Maňák (BNP Paribas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Asset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Management)</w:t>
      </w:r>
    </w:p>
    <w:p w14:paraId="15DA5131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Jan D. Kabelka (NN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Investment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Partners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)</w:t>
      </w:r>
    </w:p>
    <w:p w14:paraId="7369926C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Petr Šimčák (Amundi Czech Republic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Asset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Management)</w:t>
      </w:r>
    </w:p>
    <w:p w14:paraId="34234055" w14:textId="77777777" w:rsidR="0017742D" w:rsidRPr="0070273D" w:rsidRDefault="0017742D" w:rsidP="00F7452D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Jan Macek (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Fincentrum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Select</w:t>
      </w:r>
      <w:proofErr w:type="spellEnd"/>
      <w:r w:rsidRPr="0070273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)</w:t>
      </w:r>
    </w:p>
    <w:p w14:paraId="1092C767" w14:textId="59A8928E" w:rsidR="00B018B6" w:rsidRPr="0070273D" w:rsidRDefault="00432940" w:rsidP="00B018B6">
      <w:pPr>
        <w:spacing w:after="0"/>
        <w:rPr>
          <w:rFonts w:asciiTheme="minorHAnsi" w:hAnsiTheme="minorHAnsi" w:cstheme="minorHAnsi"/>
        </w:rPr>
      </w:pPr>
      <w:r w:rsidRPr="0070273D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10AFC46" wp14:editId="0D7CCDB1">
            <wp:simplePos x="0" y="0"/>
            <wp:positionH relativeFrom="column">
              <wp:posOffset>5023485</wp:posOffset>
            </wp:positionH>
            <wp:positionV relativeFrom="paragraph">
              <wp:posOffset>9199245</wp:posOffset>
            </wp:positionV>
            <wp:extent cx="1373505" cy="474980"/>
            <wp:effectExtent l="0" t="0" r="0" b="1270"/>
            <wp:wrapNone/>
            <wp:docPr id="1" name="Obrázek 3" descr="A close up of a mans fac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C9ECB" w14:textId="77777777" w:rsidR="00696137" w:rsidRPr="0070273D" w:rsidRDefault="00696137" w:rsidP="00B018B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</w:p>
    <w:p w14:paraId="70AAFFC4" w14:textId="24D53205" w:rsidR="000519DC" w:rsidRPr="0070273D" w:rsidRDefault="000519DC" w:rsidP="00B018B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1"/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Fincentrum</w:t>
      </w:r>
      <w:proofErr w:type="spellEnd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&amp; </w:t>
      </w:r>
      <w:proofErr w:type="spellStart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Select</w:t>
      </w:r>
      <w:proofErr w:type="spellEnd"/>
      <w:r w:rsidRPr="0070273D">
        <w:rPr>
          <w:rStyle w:val="s1"/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je přední finančně-poradenskou společností v České republice, která poskytuje komplexní finanční služby na nejvyšší kvalitativní úrovni. Je součástí finanční švýcarské skupiny </w:t>
      </w:r>
      <w:proofErr w:type="spellStart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, předního poskytovatele penzijních a finančních řešení v Evropě s tradicí již více než 160 let. Skupina spravuje aktiva v hodnotě 254 mld. CHF, zaměstnává přibližně 8 600 osob a zhruba 14 000 profesionálních finančních poradců. Akcie </w:t>
      </w:r>
      <w:proofErr w:type="spellStart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Life</w:t>
      </w:r>
      <w:proofErr w:type="spellEnd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jsou obchodovány na burze v Curychu a jsou rovněž zařazeny do hlavního indexu SLI (</w:t>
      </w:r>
      <w:proofErr w:type="spellStart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Swiss</w:t>
      </w:r>
      <w:proofErr w:type="spellEnd"/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Leader Index), který zahrnuje 20 největších společností obchodovaných na burzách ve Švýcarsku.  </w:t>
      </w:r>
    </w:p>
    <w:p w14:paraId="6B22F823" w14:textId="77777777" w:rsidR="000519DC" w:rsidRPr="0070273D" w:rsidRDefault="000519DC" w:rsidP="00B018B6">
      <w:pPr>
        <w:pStyle w:val="p1"/>
        <w:rPr>
          <w:rStyle w:val="s1"/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</w:rPr>
        <w:t xml:space="preserve">Více na </w:t>
      </w:r>
      <w:hyperlink r:id="rId11" w:history="1">
        <w:r w:rsidRPr="0070273D">
          <w:rPr>
            <w:rStyle w:val="Hypertextovodkaz"/>
            <w:rFonts w:asciiTheme="minorHAnsi" w:hAnsiTheme="minorHAnsi" w:cstheme="minorHAnsi"/>
            <w:sz w:val="22"/>
            <w:szCs w:val="22"/>
          </w:rPr>
          <w:t>www.fcsls.cz</w:t>
        </w:r>
      </w:hyperlink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hyperlink r:id="rId12" w:history="1">
        <w:r w:rsidRPr="0070273D">
          <w:rPr>
            <w:rStyle w:val="Hypertextovodkaz"/>
            <w:rFonts w:asciiTheme="minorHAnsi" w:hAnsiTheme="minorHAnsi" w:cstheme="minorHAnsi"/>
            <w:sz w:val="22"/>
            <w:szCs w:val="22"/>
          </w:rPr>
          <w:t>www.swisslife.com</w:t>
        </w:r>
      </w:hyperlink>
      <w:r w:rsidRPr="0070273D">
        <w:rPr>
          <w:rStyle w:val="s1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CC87F3" w14:textId="77777777" w:rsidR="005774DC" w:rsidRPr="0070273D" w:rsidRDefault="005774DC" w:rsidP="00B018B6">
      <w:pPr>
        <w:pStyle w:val="p1"/>
        <w:rPr>
          <w:rStyle w:val="s1"/>
          <w:rFonts w:asciiTheme="minorHAnsi" w:hAnsiTheme="minorHAnsi" w:cstheme="minorHAnsi"/>
          <w:sz w:val="22"/>
          <w:szCs w:val="22"/>
        </w:rPr>
      </w:pPr>
    </w:p>
    <w:p w14:paraId="6926C3A3" w14:textId="1E11CC04" w:rsidR="005774DC" w:rsidRPr="0070273D" w:rsidRDefault="005774DC" w:rsidP="00B018B6">
      <w:pPr>
        <w:pStyle w:val="p1"/>
        <w:rPr>
          <w:rFonts w:asciiTheme="minorHAnsi" w:hAnsiTheme="minorHAnsi" w:cstheme="minorHAnsi"/>
          <w:sz w:val="22"/>
          <w:szCs w:val="22"/>
        </w:rPr>
      </w:pPr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Společnost </w:t>
      </w:r>
      <w:proofErr w:type="spellStart"/>
      <w:r w:rsidRPr="0070273D">
        <w:rPr>
          <w:rStyle w:val="s1"/>
          <w:rFonts w:asciiTheme="minorHAnsi" w:hAnsiTheme="minorHAnsi" w:cstheme="minorHAnsi"/>
          <w:sz w:val="22"/>
          <w:szCs w:val="22"/>
        </w:rPr>
        <w:t>Fincentrum</w:t>
      </w:r>
      <w:proofErr w:type="spellEnd"/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70273D">
        <w:rPr>
          <w:rStyle w:val="s1"/>
          <w:rFonts w:asciiTheme="minorHAnsi" w:hAnsiTheme="minorHAnsi" w:cstheme="minorHAnsi"/>
          <w:sz w:val="22"/>
          <w:szCs w:val="22"/>
        </w:rPr>
        <w:t>Swiss</w:t>
      </w:r>
      <w:proofErr w:type="spellEnd"/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sz w:val="22"/>
          <w:szCs w:val="22"/>
        </w:rPr>
        <w:t>Life</w:t>
      </w:r>
      <w:proofErr w:type="spellEnd"/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sz w:val="22"/>
          <w:szCs w:val="22"/>
        </w:rPr>
        <w:t>Select</w:t>
      </w:r>
      <w:proofErr w:type="spellEnd"/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 a.s. zveřejňuje také každý měsíc hodnoty ukazatele </w:t>
      </w:r>
      <w:proofErr w:type="spellStart"/>
      <w:r w:rsidRPr="0070273D">
        <w:rPr>
          <w:rStyle w:val="s1"/>
          <w:rFonts w:asciiTheme="minorHAnsi" w:hAnsiTheme="minorHAnsi" w:cstheme="minorHAnsi"/>
          <w:b/>
          <w:bCs/>
          <w:sz w:val="22"/>
          <w:szCs w:val="22"/>
        </w:rPr>
        <w:t>Fincentrum</w:t>
      </w:r>
      <w:proofErr w:type="spellEnd"/>
      <w:r w:rsidRPr="0070273D">
        <w:rPr>
          <w:rStyle w:val="s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0273D">
        <w:rPr>
          <w:rStyle w:val="s1"/>
          <w:rFonts w:asciiTheme="minorHAnsi" w:hAnsiTheme="minorHAnsi" w:cstheme="minorHAnsi"/>
          <w:b/>
          <w:bCs/>
          <w:sz w:val="22"/>
          <w:szCs w:val="22"/>
        </w:rPr>
        <w:t>Hypoindex</w:t>
      </w:r>
      <w:proofErr w:type="spellEnd"/>
      <w:r w:rsidRPr="0070273D">
        <w:rPr>
          <w:rStyle w:val="s1"/>
          <w:rFonts w:asciiTheme="minorHAnsi" w:hAnsiTheme="minorHAnsi" w:cstheme="minorHAnsi"/>
          <w:b/>
          <w:bCs/>
          <w:sz w:val="22"/>
          <w:szCs w:val="22"/>
        </w:rPr>
        <w:t>®</w:t>
      </w:r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 a čtvrtletně </w:t>
      </w:r>
      <w:r w:rsidRPr="0070273D">
        <w:rPr>
          <w:rStyle w:val="s1"/>
          <w:rFonts w:asciiTheme="minorHAnsi" w:hAnsiTheme="minorHAnsi" w:cstheme="minorHAnsi"/>
          <w:b/>
          <w:bCs/>
          <w:sz w:val="22"/>
          <w:szCs w:val="22"/>
        </w:rPr>
        <w:t>Index českého investora CII750</w:t>
      </w:r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. Dále provozuje odborné portály </w:t>
      </w:r>
      <w:hyperlink r:id="rId13" w:history="1">
        <w:r w:rsidRPr="0070273D">
          <w:rPr>
            <w:rStyle w:val="Hypertextovodkaz"/>
            <w:rFonts w:asciiTheme="minorHAnsi" w:hAnsiTheme="minorHAnsi" w:cstheme="minorHAnsi"/>
            <w:sz w:val="22"/>
            <w:szCs w:val="22"/>
          </w:rPr>
          <w:t>investujeme.cz</w:t>
        </w:r>
      </w:hyperlink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 a </w:t>
      </w:r>
      <w:hyperlink r:id="rId14" w:history="1">
        <w:r w:rsidRPr="0070273D">
          <w:rPr>
            <w:rStyle w:val="Hypertextovodkaz"/>
            <w:rFonts w:asciiTheme="minorHAnsi" w:hAnsiTheme="minorHAnsi" w:cstheme="minorHAnsi"/>
            <w:sz w:val="22"/>
            <w:szCs w:val="22"/>
          </w:rPr>
          <w:t>hypoindex.cz</w:t>
        </w:r>
      </w:hyperlink>
      <w:r w:rsidRPr="0070273D">
        <w:rPr>
          <w:rStyle w:val="s1"/>
          <w:rFonts w:asciiTheme="minorHAnsi" w:hAnsiTheme="minorHAnsi" w:cstheme="minorHAnsi"/>
          <w:sz w:val="22"/>
          <w:szCs w:val="22"/>
        </w:rPr>
        <w:t>.</w:t>
      </w:r>
      <w:r w:rsidRPr="00702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C476D" w14:textId="77777777" w:rsidR="000519DC" w:rsidRPr="0070273D" w:rsidRDefault="000519DC" w:rsidP="00B018B6">
      <w:pPr>
        <w:spacing w:after="0" w:line="240" w:lineRule="auto"/>
        <w:rPr>
          <w:rFonts w:asciiTheme="minorHAnsi" w:hAnsiTheme="minorHAnsi" w:cstheme="minorHAnsi"/>
          <w:b/>
        </w:rPr>
      </w:pPr>
    </w:p>
    <w:p w14:paraId="289CE0A2" w14:textId="77777777" w:rsidR="00782AC6" w:rsidRPr="0070273D" w:rsidRDefault="00782AC6" w:rsidP="00B018B6">
      <w:pPr>
        <w:pStyle w:val="p1"/>
        <w:rPr>
          <w:rFonts w:asciiTheme="minorHAnsi" w:hAnsiTheme="minorHAnsi" w:cstheme="minorHAnsi"/>
          <w:sz w:val="22"/>
          <w:szCs w:val="22"/>
        </w:rPr>
      </w:pPr>
      <w:r w:rsidRPr="0070273D">
        <w:rPr>
          <w:rStyle w:val="s1"/>
          <w:rFonts w:asciiTheme="minorHAnsi" w:hAnsiTheme="minorHAnsi" w:cstheme="minorHAnsi"/>
          <w:sz w:val="22"/>
          <w:szCs w:val="22"/>
        </w:rPr>
        <w:t>V případě zájmu o další informace kontaktujte:</w:t>
      </w:r>
    </w:p>
    <w:p w14:paraId="7B652066" w14:textId="77777777" w:rsidR="00004D56" w:rsidRPr="0070273D" w:rsidRDefault="00004D56" w:rsidP="00B018B6">
      <w:pPr>
        <w:pStyle w:val="p2"/>
        <w:rPr>
          <w:rFonts w:asciiTheme="minorHAnsi" w:hAnsiTheme="minorHAnsi" w:cstheme="minorHAnsi"/>
          <w:sz w:val="22"/>
          <w:szCs w:val="22"/>
        </w:rPr>
      </w:pPr>
    </w:p>
    <w:p w14:paraId="4AC567F4" w14:textId="77777777" w:rsidR="00782AC6" w:rsidRPr="0070273D" w:rsidRDefault="00782AC6" w:rsidP="00B018B6">
      <w:pPr>
        <w:pStyle w:val="p1"/>
        <w:rPr>
          <w:rFonts w:asciiTheme="minorHAnsi" w:hAnsiTheme="minorHAnsi" w:cstheme="minorHAnsi"/>
          <w:b/>
          <w:sz w:val="22"/>
          <w:szCs w:val="22"/>
        </w:rPr>
      </w:pPr>
      <w:r w:rsidRPr="0070273D">
        <w:rPr>
          <w:rStyle w:val="s1"/>
          <w:rFonts w:asciiTheme="minorHAnsi" w:hAnsiTheme="minorHAnsi" w:cstheme="minorHAnsi"/>
          <w:b/>
          <w:sz w:val="22"/>
          <w:szCs w:val="22"/>
        </w:rPr>
        <w:t>Miroslav Beneš</w:t>
      </w:r>
    </w:p>
    <w:p w14:paraId="1231CF6A" w14:textId="77777777" w:rsidR="00782AC6" w:rsidRPr="0070273D" w:rsidRDefault="00782AC6" w:rsidP="00B018B6">
      <w:pPr>
        <w:pStyle w:val="p1"/>
        <w:rPr>
          <w:rFonts w:asciiTheme="minorHAnsi" w:hAnsiTheme="minorHAnsi" w:cstheme="minorHAnsi"/>
          <w:sz w:val="22"/>
          <w:szCs w:val="22"/>
        </w:rPr>
      </w:pPr>
      <w:r w:rsidRPr="0070273D">
        <w:rPr>
          <w:rStyle w:val="s1"/>
          <w:rFonts w:asciiTheme="minorHAnsi" w:hAnsiTheme="minorHAnsi" w:cstheme="minorHAnsi"/>
          <w:sz w:val="22"/>
          <w:szCs w:val="22"/>
        </w:rPr>
        <w:t>Mobil: +420 603 174 347</w:t>
      </w:r>
    </w:p>
    <w:p w14:paraId="1BEECBD5" w14:textId="77777777" w:rsidR="00782AC6" w:rsidRPr="0070273D" w:rsidRDefault="00782AC6" w:rsidP="00B018B6">
      <w:pPr>
        <w:pStyle w:val="p1"/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70273D">
        <w:rPr>
          <w:rStyle w:val="s1"/>
          <w:rFonts w:asciiTheme="minorHAnsi" w:hAnsiTheme="minorHAnsi" w:cstheme="minorHAnsi"/>
          <w:sz w:val="22"/>
          <w:szCs w:val="22"/>
        </w:rPr>
        <w:t xml:space="preserve">E-mail: </w:t>
      </w:r>
      <w:hyperlink r:id="rId15" w:history="1">
        <w:r w:rsidRPr="0070273D">
          <w:rPr>
            <w:rStyle w:val="Hypertextovodkaz"/>
            <w:rFonts w:asciiTheme="minorHAnsi" w:hAnsiTheme="minorHAnsi" w:cstheme="minorHAnsi"/>
            <w:sz w:val="22"/>
            <w:szCs w:val="22"/>
          </w:rPr>
          <w:t>miroslav.benes@benesgroup.cz</w:t>
        </w:r>
      </w:hyperlink>
      <w:r w:rsidRPr="0070273D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</w:p>
    <w:p w14:paraId="6E8AA6F5" w14:textId="77777777" w:rsidR="007D0832" w:rsidRPr="0070273D" w:rsidRDefault="007D0832" w:rsidP="00B018B6">
      <w:pPr>
        <w:pStyle w:val="p1"/>
        <w:rPr>
          <w:rStyle w:val="s1"/>
          <w:rFonts w:asciiTheme="minorHAnsi" w:hAnsiTheme="minorHAnsi" w:cstheme="minorHAnsi"/>
          <w:sz w:val="22"/>
          <w:szCs w:val="22"/>
        </w:rPr>
      </w:pPr>
    </w:p>
    <w:sectPr w:rsidR="007D0832" w:rsidRPr="0070273D" w:rsidSect="00696137">
      <w:headerReference w:type="default" r:id="rId16"/>
      <w:footerReference w:type="default" r:id="rId17"/>
      <w:pgSz w:w="11906" w:h="16838"/>
      <w:pgMar w:top="2127" w:right="851" w:bottom="1701" w:left="851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E76E" w14:textId="77777777" w:rsidR="006C5799" w:rsidRDefault="006C5799" w:rsidP="003E5B74">
      <w:pPr>
        <w:spacing w:after="0" w:line="240" w:lineRule="auto"/>
      </w:pPr>
      <w:r>
        <w:separator/>
      </w:r>
    </w:p>
  </w:endnote>
  <w:endnote w:type="continuationSeparator" w:id="0">
    <w:p w14:paraId="755A87D0" w14:textId="77777777" w:rsidR="006C5799" w:rsidRDefault="006C5799" w:rsidP="003E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 UI Text">
    <w:altName w:val="Arial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gacy Serif ITC Pro Book">
    <w:altName w:val="Calibri"/>
    <w:panose1 w:val="00000000000000000000"/>
    <w:charset w:val="00"/>
    <w:family w:val="auto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176F" w14:textId="0D6C987E" w:rsidR="00BD2CA2" w:rsidRPr="00BD2CA2" w:rsidRDefault="002814BD" w:rsidP="00BD2CA2">
    <w:pPr>
      <w:pStyle w:val="Zpat"/>
      <w:tabs>
        <w:tab w:val="clear" w:pos="9072"/>
        <w:tab w:val="right" w:pos="9214"/>
      </w:tabs>
      <w:ind w:right="-426"/>
      <w:jc w:val="center"/>
      <w:rPr>
        <w:b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CF70185" wp14:editId="718DED9B">
              <wp:simplePos x="0" y="0"/>
              <wp:positionH relativeFrom="column">
                <wp:posOffset>4730750</wp:posOffset>
              </wp:positionH>
              <wp:positionV relativeFrom="paragraph">
                <wp:posOffset>173990</wp:posOffset>
              </wp:positionV>
              <wp:extent cx="1800225" cy="448310"/>
              <wp:effectExtent l="0" t="0" r="9525" b="889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AFBD0" w14:textId="303D7A3C" w:rsidR="00BD2CA2" w:rsidRPr="00521C4F" w:rsidRDefault="00E63F84" w:rsidP="00E63F84">
                          <w:pPr>
                            <w:pStyle w:val="Zpat"/>
                            <w:tabs>
                              <w:tab w:val="clear" w:pos="9072"/>
                              <w:tab w:val="right" w:pos="9214"/>
                            </w:tabs>
                            <w:jc w:val="right"/>
                          </w:pP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Stránka (</w:t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instrText>PAGE</w:instrText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97C66">
                            <w:rPr>
                              <w:rFonts w:ascii="Tahoma" w:hAnsi="Tahoma" w:cs="Tahoma"/>
                              <w:b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 xml:space="preserve"> z </w:t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instrText>NUMPAGES</w:instrText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97C66">
                            <w:rPr>
                              <w:rFonts w:ascii="Tahoma" w:hAnsi="Tahoma" w:cs="Tahoma"/>
                              <w:b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 w:rsidRPr="00521C4F">
                            <w:rPr>
                              <w:rFonts w:ascii="Tahoma" w:hAnsi="Tahoma" w:cs="Tahoma"/>
                              <w:b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701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72.5pt;margin-top:13.7pt;width:141.75pt;height:35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" filled="f" stroked="f">
              <v:textbox inset="0,0,0,0">
                <w:txbxContent>
                  <w:p w14:paraId="661AFBD0" w14:textId="303D7A3C" w:rsidR="00BD2CA2" w:rsidRPr="00521C4F" w:rsidRDefault="00E63F84" w:rsidP="00E63F84">
                    <w:pPr>
                      <w:pStyle w:val="Zpat"/>
                      <w:tabs>
                        <w:tab w:val="clear" w:pos="9072"/>
                        <w:tab w:val="right" w:pos="9214"/>
                      </w:tabs>
                      <w:jc w:val="right"/>
                    </w:pP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Stránka (</w:t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begin"/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instrText>PAGE</w:instrText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separate"/>
                    </w:r>
                    <w:r w:rsidR="00C97C66">
                      <w:rPr>
                        <w:rFonts w:ascii="Tahoma" w:hAnsi="Tahoma" w:cs="Tahoma"/>
                        <w:b/>
                        <w:noProof/>
                        <w:sz w:val="12"/>
                        <w:szCs w:val="12"/>
                      </w:rPr>
                      <w:t>2</w:t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end"/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 xml:space="preserve"> z </w:t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begin"/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instrText>NUMPAGES</w:instrText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separate"/>
                    </w:r>
                    <w:r w:rsidR="00C97C66">
                      <w:rPr>
                        <w:rFonts w:ascii="Tahoma" w:hAnsi="Tahoma" w:cs="Tahoma"/>
                        <w:b/>
                        <w:noProof/>
                        <w:sz w:val="12"/>
                        <w:szCs w:val="12"/>
                      </w:rPr>
                      <w:t>4</w:t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fldChar w:fldCharType="end"/>
                    </w:r>
                    <w:r w:rsidRPr="00521C4F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377C" w14:textId="77777777" w:rsidR="006C5799" w:rsidRDefault="006C5799" w:rsidP="003E5B74">
      <w:pPr>
        <w:spacing w:after="0" w:line="240" w:lineRule="auto"/>
      </w:pPr>
      <w:r>
        <w:separator/>
      </w:r>
    </w:p>
  </w:footnote>
  <w:footnote w:type="continuationSeparator" w:id="0">
    <w:p w14:paraId="4E894E05" w14:textId="77777777" w:rsidR="006C5799" w:rsidRDefault="006C5799" w:rsidP="003E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2563" w14:textId="77777777" w:rsidR="003A27BA" w:rsidRPr="00F82948" w:rsidRDefault="00FF1AAB" w:rsidP="00FF1AAB">
    <w:pPr>
      <w:pStyle w:val="Zhlav"/>
      <w:spacing w:before="200"/>
      <w:rPr>
        <w:rFonts w:ascii="Tahoma" w:hAnsi="Tahoma" w:cs="Tahoma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6248B06" wp14:editId="52F63A26">
          <wp:simplePos x="0" y="0"/>
          <wp:positionH relativeFrom="column">
            <wp:posOffset>63410</wp:posOffset>
          </wp:positionH>
          <wp:positionV relativeFrom="paragraph">
            <wp:posOffset>213451</wp:posOffset>
          </wp:positionV>
          <wp:extent cx="1828800" cy="343535"/>
          <wp:effectExtent l="0" t="0" r="0" b="0"/>
          <wp:wrapNone/>
          <wp:docPr id="37" name="Obrázek 37" descr="https://www.fincentrum.com/podnikejte-s-nami/images/fincentr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ncentrum.com/podnikejte-s-nami/images/fincentr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B219CE5" wp14:editId="638CD5E8">
          <wp:simplePos x="0" y="0"/>
          <wp:positionH relativeFrom="column">
            <wp:posOffset>4495800</wp:posOffset>
          </wp:positionH>
          <wp:positionV relativeFrom="paragraph">
            <wp:posOffset>-123190</wp:posOffset>
          </wp:positionV>
          <wp:extent cx="1897112" cy="941615"/>
          <wp:effectExtent l="0" t="0" r="8255" b="0"/>
          <wp:wrapNone/>
          <wp:docPr id="38" name="Obrázek 38" descr="https://encrypted-tbn0.gstatic.com/images?q=tbn:ANd9GcQf7eGiMk4XrFsXu66o2o7qKMcUw8vgTCKuI467K1XwmhMJaGO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Qf7eGiMk4XrFsXu66o2o7qKMcUw8vgTCKuI467K1XwmhMJaGOnO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112" cy="9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BA3"/>
    <w:multiLevelType w:val="hybridMultilevel"/>
    <w:tmpl w:val="8196B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6663"/>
    <w:multiLevelType w:val="hybridMultilevel"/>
    <w:tmpl w:val="76EEE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488F"/>
    <w:multiLevelType w:val="hybridMultilevel"/>
    <w:tmpl w:val="BBD4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0E36"/>
    <w:multiLevelType w:val="hybridMultilevel"/>
    <w:tmpl w:val="A802FE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0381D"/>
    <w:multiLevelType w:val="hybridMultilevel"/>
    <w:tmpl w:val="E5B28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D32"/>
    <w:multiLevelType w:val="hybridMultilevel"/>
    <w:tmpl w:val="BDEED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5C8C"/>
    <w:multiLevelType w:val="hybridMultilevel"/>
    <w:tmpl w:val="5EB24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46057"/>
    <w:multiLevelType w:val="hybridMultilevel"/>
    <w:tmpl w:val="4D0C18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A0D94"/>
    <w:multiLevelType w:val="hybridMultilevel"/>
    <w:tmpl w:val="427AB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03D5"/>
    <w:multiLevelType w:val="hybridMultilevel"/>
    <w:tmpl w:val="577A5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4D44"/>
    <w:multiLevelType w:val="hybridMultilevel"/>
    <w:tmpl w:val="C5BC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D532B"/>
    <w:multiLevelType w:val="hybridMultilevel"/>
    <w:tmpl w:val="A81850EC"/>
    <w:lvl w:ilvl="0" w:tplc="700E38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194675"/>
    <w:multiLevelType w:val="hybridMultilevel"/>
    <w:tmpl w:val="92904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87541"/>
    <w:multiLevelType w:val="hybridMultilevel"/>
    <w:tmpl w:val="32323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74"/>
    <w:rsid w:val="000045BC"/>
    <w:rsid w:val="00004D56"/>
    <w:rsid w:val="00005EED"/>
    <w:rsid w:val="000206F5"/>
    <w:rsid w:val="00022A00"/>
    <w:rsid w:val="000309DC"/>
    <w:rsid w:val="000519DC"/>
    <w:rsid w:val="0006060B"/>
    <w:rsid w:val="00063BD3"/>
    <w:rsid w:val="000770A5"/>
    <w:rsid w:val="000779DB"/>
    <w:rsid w:val="00097439"/>
    <w:rsid w:val="000F7756"/>
    <w:rsid w:val="00104F01"/>
    <w:rsid w:val="001300E2"/>
    <w:rsid w:val="0015090D"/>
    <w:rsid w:val="001639CE"/>
    <w:rsid w:val="0017742D"/>
    <w:rsid w:val="001778AC"/>
    <w:rsid w:val="0019410B"/>
    <w:rsid w:val="001A0C74"/>
    <w:rsid w:val="001A3D47"/>
    <w:rsid w:val="001C55C4"/>
    <w:rsid w:val="001C67B1"/>
    <w:rsid w:val="001E3EAC"/>
    <w:rsid w:val="0020636C"/>
    <w:rsid w:val="00206F8F"/>
    <w:rsid w:val="00210BB4"/>
    <w:rsid w:val="00246511"/>
    <w:rsid w:val="0025411D"/>
    <w:rsid w:val="00273A1E"/>
    <w:rsid w:val="002814BD"/>
    <w:rsid w:val="00282AF2"/>
    <w:rsid w:val="00296DD6"/>
    <w:rsid w:val="002A3F15"/>
    <w:rsid w:val="002A7068"/>
    <w:rsid w:val="002B0BC8"/>
    <w:rsid w:val="002B3196"/>
    <w:rsid w:val="002E405F"/>
    <w:rsid w:val="002F47A6"/>
    <w:rsid w:val="003001B1"/>
    <w:rsid w:val="00305184"/>
    <w:rsid w:val="00314C8B"/>
    <w:rsid w:val="0034077D"/>
    <w:rsid w:val="00345190"/>
    <w:rsid w:val="00371AB4"/>
    <w:rsid w:val="0037225A"/>
    <w:rsid w:val="003748E0"/>
    <w:rsid w:val="003955BB"/>
    <w:rsid w:val="003A27BA"/>
    <w:rsid w:val="003B0FFA"/>
    <w:rsid w:val="003B2932"/>
    <w:rsid w:val="003C4540"/>
    <w:rsid w:val="003E5B74"/>
    <w:rsid w:val="00432940"/>
    <w:rsid w:val="004352E1"/>
    <w:rsid w:val="004463A3"/>
    <w:rsid w:val="00491B60"/>
    <w:rsid w:val="00495B68"/>
    <w:rsid w:val="004B53FE"/>
    <w:rsid w:val="004C3618"/>
    <w:rsid w:val="00507541"/>
    <w:rsid w:val="005174A0"/>
    <w:rsid w:val="00521C4F"/>
    <w:rsid w:val="005359BB"/>
    <w:rsid w:val="00564E1D"/>
    <w:rsid w:val="005774DC"/>
    <w:rsid w:val="00577DFE"/>
    <w:rsid w:val="00585BE0"/>
    <w:rsid w:val="005931F1"/>
    <w:rsid w:val="005A647F"/>
    <w:rsid w:val="005A7B7C"/>
    <w:rsid w:val="005B5A42"/>
    <w:rsid w:val="005C2BEF"/>
    <w:rsid w:val="005D2A32"/>
    <w:rsid w:val="005D551B"/>
    <w:rsid w:val="005D5C88"/>
    <w:rsid w:val="005F2F39"/>
    <w:rsid w:val="00606C4A"/>
    <w:rsid w:val="006159EE"/>
    <w:rsid w:val="00622089"/>
    <w:rsid w:val="00623A33"/>
    <w:rsid w:val="00625DC4"/>
    <w:rsid w:val="00634A88"/>
    <w:rsid w:val="006505C5"/>
    <w:rsid w:val="0065189F"/>
    <w:rsid w:val="00664DE6"/>
    <w:rsid w:val="0066580D"/>
    <w:rsid w:val="00672E94"/>
    <w:rsid w:val="006770E2"/>
    <w:rsid w:val="00696137"/>
    <w:rsid w:val="006C5799"/>
    <w:rsid w:val="006E4331"/>
    <w:rsid w:val="006E4E0A"/>
    <w:rsid w:val="006F64EF"/>
    <w:rsid w:val="0070273D"/>
    <w:rsid w:val="00710275"/>
    <w:rsid w:val="00747736"/>
    <w:rsid w:val="00751059"/>
    <w:rsid w:val="0075559C"/>
    <w:rsid w:val="00757413"/>
    <w:rsid w:val="00782AC6"/>
    <w:rsid w:val="00785F97"/>
    <w:rsid w:val="007B4A82"/>
    <w:rsid w:val="007D0832"/>
    <w:rsid w:val="007E4688"/>
    <w:rsid w:val="0084087C"/>
    <w:rsid w:val="008408EE"/>
    <w:rsid w:val="008457C1"/>
    <w:rsid w:val="00845DE1"/>
    <w:rsid w:val="00847DED"/>
    <w:rsid w:val="008558E1"/>
    <w:rsid w:val="00871C70"/>
    <w:rsid w:val="008728C1"/>
    <w:rsid w:val="0089714E"/>
    <w:rsid w:val="009217C0"/>
    <w:rsid w:val="00960FA5"/>
    <w:rsid w:val="00990400"/>
    <w:rsid w:val="00994DD1"/>
    <w:rsid w:val="009C6252"/>
    <w:rsid w:val="009E3217"/>
    <w:rsid w:val="009F009F"/>
    <w:rsid w:val="00A01782"/>
    <w:rsid w:val="00A02B79"/>
    <w:rsid w:val="00A0477D"/>
    <w:rsid w:val="00A308C0"/>
    <w:rsid w:val="00A4272C"/>
    <w:rsid w:val="00A97A79"/>
    <w:rsid w:val="00AD6ACA"/>
    <w:rsid w:val="00AD7DA4"/>
    <w:rsid w:val="00AE7B38"/>
    <w:rsid w:val="00AF3CA2"/>
    <w:rsid w:val="00B018B6"/>
    <w:rsid w:val="00B04A44"/>
    <w:rsid w:val="00B223D0"/>
    <w:rsid w:val="00B56CA5"/>
    <w:rsid w:val="00B63D73"/>
    <w:rsid w:val="00B653A9"/>
    <w:rsid w:val="00B76F14"/>
    <w:rsid w:val="00B82548"/>
    <w:rsid w:val="00BB4C5C"/>
    <w:rsid w:val="00BD2CA2"/>
    <w:rsid w:val="00BD3A82"/>
    <w:rsid w:val="00BE14BA"/>
    <w:rsid w:val="00C057E0"/>
    <w:rsid w:val="00C6135F"/>
    <w:rsid w:val="00C643EE"/>
    <w:rsid w:val="00C90B35"/>
    <w:rsid w:val="00C97C66"/>
    <w:rsid w:val="00CC21E1"/>
    <w:rsid w:val="00D217CD"/>
    <w:rsid w:val="00D41591"/>
    <w:rsid w:val="00D42E22"/>
    <w:rsid w:val="00D43084"/>
    <w:rsid w:val="00D738A4"/>
    <w:rsid w:val="00DB0E41"/>
    <w:rsid w:val="00DD13FC"/>
    <w:rsid w:val="00E02F73"/>
    <w:rsid w:val="00E047B8"/>
    <w:rsid w:val="00E205D9"/>
    <w:rsid w:val="00E30116"/>
    <w:rsid w:val="00E31AA4"/>
    <w:rsid w:val="00E51F2C"/>
    <w:rsid w:val="00E63F84"/>
    <w:rsid w:val="00E900C6"/>
    <w:rsid w:val="00E94511"/>
    <w:rsid w:val="00E94966"/>
    <w:rsid w:val="00E96538"/>
    <w:rsid w:val="00EC106E"/>
    <w:rsid w:val="00ED6C83"/>
    <w:rsid w:val="00ED794D"/>
    <w:rsid w:val="00EF040B"/>
    <w:rsid w:val="00EF5191"/>
    <w:rsid w:val="00F35035"/>
    <w:rsid w:val="00F435A8"/>
    <w:rsid w:val="00F4781F"/>
    <w:rsid w:val="00F72BCB"/>
    <w:rsid w:val="00F7452D"/>
    <w:rsid w:val="00F82948"/>
    <w:rsid w:val="00F96D8B"/>
    <w:rsid w:val="00FD158F"/>
    <w:rsid w:val="00FD6E02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71874"/>
  <w15:chartTrackingRefBased/>
  <w15:docId w15:val="{B871A6A8-C4AB-44A4-AC22-56F12467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8E1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30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5B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B74"/>
  </w:style>
  <w:style w:type="paragraph" w:styleId="Zpat">
    <w:name w:val="footer"/>
    <w:basedOn w:val="Normln"/>
    <w:link w:val="ZpatChar"/>
    <w:uiPriority w:val="99"/>
    <w:unhideWhenUsed/>
    <w:rsid w:val="003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B74"/>
  </w:style>
  <w:style w:type="character" w:styleId="Hypertextovodkaz">
    <w:name w:val="Hyperlink"/>
    <w:rsid w:val="006E4E0A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4E0A"/>
    <w:pPr>
      <w:spacing w:after="160" w:line="259" w:lineRule="auto"/>
      <w:ind w:left="720"/>
      <w:contextualSpacing/>
    </w:pPr>
  </w:style>
  <w:style w:type="character" w:styleId="Sledovanodkaz">
    <w:name w:val="FollowedHyperlink"/>
    <w:uiPriority w:val="99"/>
    <w:semiHidden/>
    <w:unhideWhenUsed/>
    <w:rsid w:val="006E4E0A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6E4E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E0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4E0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E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E0A"/>
    <w:rPr>
      <w:b/>
      <w:bCs/>
      <w:lang w:eastAsia="en-US"/>
    </w:rPr>
  </w:style>
  <w:style w:type="paragraph" w:styleId="Revize">
    <w:name w:val="Revision"/>
    <w:hidden/>
    <w:uiPriority w:val="99"/>
    <w:semiHidden/>
    <w:rsid w:val="006E4E0A"/>
    <w:rPr>
      <w:sz w:val="22"/>
      <w:szCs w:val="22"/>
      <w:lang w:val="cs-CZ"/>
    </w:rPr>
  </w:style>
  <w:style w:type="character" w:customStyle="1" w:styleId="apple-converted-space">
    <w:name w:val="apple-converted-space"/>
    <w:rsid w:val="00782AC6"/>
  </w:style>
  <w:style w:type="paragraph" w:customStyle="1" w:styleId="p1">
    <w:name w:val="p1"/>
    <w:basedOn w:val="Normln"/>
    <w:rsid w:val="00782AC6"/>
    <w:pPr>
      <w:spacing w:after="0" w:line="240" w:lineRule="auto"/>
    </w:pPr>
    <w:rPr>
      <w:rFonts w:ascii=".SF UI Text" w:hAnsi=".SF UI Text"/>
      <w:color w:val="454545"/>
      <w:sz w:val="26"/>
      <w:szCs w:val="26"/>
      <w:lang w:eastAsia="cs-CZ"/>
    </w:rPr>
  </w:style>
  <w:style w:type="paragraph" w:customStyle="1" w:styleId="p2">
    <w:name w:val="p2"/>
    <w:basedOn w:val="Normln"/>
    <w:rsid w:val="00782AC6"/>
    <w:pPr>
      <w:spacing w:after="0" w:line="240" w:lineRule="auto"/>
    </w:pPr>
    <w:rPr>
      <w:rFonts w:ascii=".SF UI Text" w:hAnsi=".SF UI Text"/>
      <w:color w:val="454545"/>
      <w:sz w:val="26"/>
      <w:szCs w:val="26"/>
      <w:lang w:eastAsia="cs-CZ"/>
    </w:rPr>
  </w:style>
  <w:style w:type="character" w:customStyle="1" w:styleId="s1">
    <w:name w:val="s1"/>
    <w:rsid w:val="00782AC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styleId="Siln">
    <w:name w:val="Strong"/>
    <w:basedOn w:val="Standardnpsmoodstavce"/>
    <w:uiPriority w:val="22"/>
    <w:qFormat/>
    <w:rsid w:val="00C6135F"/>
    <w:rPr>
      <w:b/>
      <w:bCs/>
    </w:rPr>
  </w:style>
  <w:style w:type="paragraph" w:styleId="Normlnweb">
    <w:name w:val="Normal (Web)"/>
    <w:basedOn w:val="Normln"/>
    <w:uiPriority w:val="99"/>
    <w:unhideWhenUsed/>
    <w:rsid w:val="00D2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4">
    <w:name w:val="Základní text (4)_"/>
    <w:basedOn w:val="Standardnpsmoodstavce"/>
    <w:link w:val="Zkladntext40"/>
    <w:rsid w:val="00F72BCB"/>
    <w:rPr>
      <w:rFonts w:ascii="Arial" w:eastAsia="Arial" w:hAnsi="Arial" w:cs="Arial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72BCB"/>
    <w:pPr>
      <w:widowControl w:val="0"/>
      <w:shd w:val="clear" w:color="auto" w:fill="FFFFFF"/>
      <w:spacing w:before="100" w:after="240" w:line="230" w:lineRule="exact"/>
    </w:pPr>
    <w:rPr>
      <w:rFonts w:ascii="Arial" w:eastAsia="Arial" w:hAnsi="Arial" w:cs="Arial"/>
      <w:sz w:val="20"/>
      <w:szCs w:val="20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4D5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7D083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300E2"/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30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06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ceroku.cz/metodika/" TargetMode="External"/><Relationship Id="rId13" Type="http://schemas.openxmlformats.org/officeDocument/2006/relationships/hyperlink" Target="http://investujem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wisslif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sl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roslav.benes@benesgroup.cz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zech-ba.cz/" TargetMode="External"/><Relationship Id="rId14" Type="http://schemas.openxmlformats.org/officeDocument/2006/relationships/hyperlink" Target="http://hypoindex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E999-44DB-4318-82A3-E0D9F35F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1009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Links>
    <vt:vector size="12" baseType="variant">
      <vt:variant>
        <vt:i4>2687013</vt:i4>
      </vt:variant>
      <vt:variant>
        <vt:i4>3</vt:i4>
      </vt:variant>
      <vt:variant>
        <vt:i4>0</vt:i4>
      </vt:variant>
      <vt:variant>
        <vt:i4>5</vt:i4>
      </vt:variant>
      <vt:variant>
        <vt:lpwstr>http://www.fincentrum.com/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mailto:miroslav.benes@benesgroup.cz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 Consulting Group s.r.o.</dc:creator>
  <cp:keywords/>
  <cp:lastModifiedBy>Milan Kriz</cp:lastModifiedBy>
  <cp:revision>5</cp:revision>
  <dcterms:created xsi:type="dcterms:W3CDTF">2020-02-05T12:14:00Z</dcterms:created>
  <dcterms:modified xsi:type="dcterms:W3CDTF">2020-02-05T13:02:00Z</dcterms:modified>
</cp:coreProperties>
</file>